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77" w:rsidRPr="00535001" w:rsidRDefault="00A27117" w:rsidP="00032BD9">
      <w:pPr>
        <w:spacing w:before="120" w:after="120"/>
        <w:jc w:val="center"/>
        <w:rPr>
          <w:b/>
          <w:sz w:val="32"/>
          <w:szCs w:val="28"/>
          <w:u w:val="single"/>
        </w:rPr>
      </w:pPr>
      <w:r w:rsidRPr="00535001">
        <w:rPr>
          <w:b/>
          <w:sz w:val="32"/>
          <w:szCs w:val="28"/>
          <w:u w:val="single"/>
        </w:rPr>
        <w:t>Mine fire inquiry: proposals for improvements</w:t>
      </w:r>
    </w:p>
    <w:p w:rsidR="00535001" w:rsidRDefault="00535001" w:rsidP="00535001">
      <w:pPr>
        <w:spacing w:before="120" w:after="120"/>
        <w:rPr>
          <w:b/>
          <w:sz w:val="28"/>
          <w:szCs w:val="28"/>
        </w:rPr>
      </w:pPr>
      <w:r>
        <w:rPr>
          <w:b/>
          <w:sz w:val="28"/>
          <w:szCs w:val="28"/>
        </w:rPr>
        <w:t xml:space="preserve">Key: </w:t>
      </w:r>
    </w:p>
    <w:p w:rsidR="00535001" w:rsidRPr="00535001" w:rsidRDefault="00535001" w:rsidP="00535001">
      <w:pPr>
        <w:pStyle w:val="ListParagraph"/>
        <w:numPr>
          <w:ilvl w:val="0"/>
          <w:numId w:val="14"/>
        </w:numPr>
        <w:spacing w:before="120" w:after="120"/>
        <w:rPr>
          <w:b/>
          <w:color w:val="FF0000"/>
          <w:sz w:val="28"/>
          <w:szCs w:val="28"/>
        </w:rPr>
      </w:pPr>
      <w:r w:rsidRPr="00535001">
        <w:rPr>
          <w:b/>
          <w:color w:val="FF0000"/>
          <w:sz w:val="28"/>
          <w:szCs w:val="28"/>
        </w:rPr>
        <w:t>Red = Steps for Hazelwood to undertake</w:t>
      </w:r>
    </w:p>
    <w:p w:rsidR="00535001" w:rsidRPr="00535001" w:rsidRDefault="00535001" w:rsidP="00535001">
      <w:pPr>
        <w:pStyle w:val="ListParagraph"/>
        <w:numPr>
          <w:ilvl w:val="0"/>
          <w:numId w:val="14"/>
        </w:numPr>
        <w:spacing w:before="120" w:after="120"/>
        <w:rPr>
          <w:b/>
          <w:sz w:val="28"/>
          <w:szCs w:val="28"/>
        </w:rPr>
      </w:pPr>
      <w:r>
        <w:rPr>
          <w:b/>
          <w:sz w:val="28"/>
          <w:szCs w:val="28"/>
        </w:rPr>
        <w:t>Black = Proposed steps for external parties/agencies to undertake</w:t>
      </w:r>
    </w:p>
    <w:tbl>
      <w:tblPr>
        <w:tblStyle w:val="TableGrid"/>
        <w:tblW w:w="15026" w:type="dxa"/>
        <w:tblInd w:w="-885" w:type="dxa"/>
        <w:tblLayout w:type="fixed"/>
        <w:tblLook w:val="04A0" w:firstRow="1" w:lastRow="0" w:firstColumn="1" w:lastColumn="0" w:noHBand="0" w:noVBand="1"/>
      </w:tblPr>
      <w:tblGrid>
        <w:gridCol w:w="1560"/>
        <w:gridCol w:w="29"/>
        <w:gridCol w:w="8759"/>
        <w:gridCol w:w="2268"/>
        <w:gridCol w:w="2410"/>
      </w:tblGrid>
      <w:tr w:rsidR="004F2D27" w:rsidTr="00535001">
        <w:tc>
          <w:tcPr>
            <w:tcW w:w="1560" w:type="dxa"/>
            <w:shd w:val="clear" w:color="auto" w:fill="F2F2F2" w:themeFill="background1" w:themeFillShade="F2"/>
          </w:tcPr>
          <w:p w:rsidR="004F2D27" w:rsidRPr="00A466A5" w:rsidRDefault="004F2D27" w:rsidP="00E4703A">
            <w:pPr>
              <w:spacing w:before="120" w:after="120"/>
              <w:rPr>
                <w:b/>
              </w:rPr>
            </w:pPr>
            <w:r w:rsidRPr="00A466A5">
              <w:rPr>
                <w:b/>
              </w:rPr>
              <w:t xml:space="preserve">Subject </w:t>
            </w:r>
          </w:p>
        </w:tc>
        <w:tc>
          <w:tcPr>
            <w:tcW w:w="8788" w:type="dxa"/>
            <w:gridSpan w:val="2"/>
            <w:shd w:val="clear" w:color="auto" w:fill="F2F2F2" w:themeFill="background1" w:themeFillShade="F2"/>
          </w:tcPr>
          <w:p w:rsidR="004F2D27" w:rsidRPr="00A466A5" w:rsidRDefault="004F2D27" w:rsidP="00A466A5">
            <w:pPr>
              <w:spacing w:before="120" w:after="120" w:line="259" w:lineRule="auto"/>
              <w:rPr>
                <w:b/>
              </w:rPr>
            </w:pPr>
            <w:r w:rsidRPr="00A466A5">
              <w:rPr>
                <w:b/>
              </w:rPr>
              <w:t>Description</w:t>
            </w:r>
          </w:p>
        </w:tc>
        <w:tc>
          <w:tcPr>
            <w:tcW w:w="2268" w:type="dxa"/>
            <w:shd w:val="clear" w:color="auto" w:fill="F2F2F2" w:themeFill="background1" w:themeFillShade="F2"/>
          </w:tcPr>
          <w:p w:rsidR="004F2D27" w:rsidRPr="00A466A5" w:rsidRDefault="004F2D27" w:rsidP="00E4703A">
            <w:pPr>
              <w:spacing w:before="120" w:after="120"/>
              <w:rPr>
                <w:b/>
              </w:rPr>
            </w:pPr>
            <w:r w:rsidRPr="00A466A5">
              <w:rPr>
                <w:b/>
              </w:rPr>
              <w:t>Cost</w:t>
            </w:r>
          </w:p>
        </w:tc>
        <w:tc>
          <w:tcPr>
            <w:tcW w:w="2410" w:type="dxa"/>
            <w:shd w:val="clear" w:color="auto" w:fill="F2F2F2" w:themeFill="background1" w:themeFillShade="F2"/>
          </w:tcPr>
          <w:p w:rsidR="004F2D27" w:rsidRPr="00A466A5" w:rsidRDefault="004F2D27" w:rsidP="00E4703A">
            <w:pPr>
              <w:spacing w:before="120" w:after="120"/>
              <w:rPr>
                <w:b/>
              </w:rPr>
            </w:pPr>
            <w:r w:rsidRPr="00A466A5">
              <w:rPr>
                <w:b/>
              </w:rPr>
              <w:t xml:space="preserve">Time frame </w:t>
            </w:r>
          </w:p>
        </w:tc>
      </w:tr>
      <w:tr w:rsidR="006A3F01" w:rsidRPr="006A3F01" w:rsidTr="00100C2A">
        <w:tc>
          <w:tcPr>
            <w:tcW w:w="15026" w:type="dxa"/>
            <w:gridSpan w:val="5"/>
          </w:tcPr>
          <w:p w:rsidR="006A3F01" w:rsidRPr="006A3F01" w:rsidRDefault="006A3F01" w:rsidP="00E44DA2">
            <w:pPr>
              <w:spacing w:before="120" w:after="120"/>
              <w:rPr>
                <w:b/>
              </w:rPr>
            </w:pPr>
            <w:r w:rsidRPr="006A3F01">
              <w:rPr>
                <w:b/>
              </w:rPr>
              <w:t xml:space="preserve">Responding to fire </w:t>
            </w:r>
          </w:p>
        </w:tc>
      </w:tr>
      <w:tr w:rsidR="004F2D27" w:rsidTr="006A3F01">
        <w:tc>
          <w:tcPr>
            <w:tcW w:w="1560" w:type="dxa"/>
          </w:tcPr>
          <w:p w:rsidR="004F2D27" w:rsidRDefault="004F2D27" w:rsidP="00E44DA2">
            <w:pPr>
              <w:spacing w:before="120" w:after="120"/>
            </w:pPr>
            <w:r>
              <w:t>Phoenix modelling</w:t>
            </w:r>
          </w:p>
        </w:tc>
        <w:tc>
          <w:tcPr>
            <w:tcW w:w="8788" w:type="dxa"/>
            <w:gridSpan w:val="2"/>
          </w:tcPr>
          <w:p w:rsidR="004F2D27" w:rsidRDefault="004F2D27" w:rsidP="00E44DA2">
            <w:pPr>
              <w:pStyle w:val="ListParagraph"/>
              <w:numPr>
                <w:ilvl w:val="0"/>
                <w:numId w:val="3"/>
              </w:numPr>
              <w:spacing w:before="120" w:after="120" w:line="259" w:lineRule="auto"/>
            </w:pPr>
            <w:r>
              <w:t xml:space="preserve">CFA should ensure that whenever their modelling shows a reasonably high likelihood of external fires impacting the Mine (or other critical </w:t>
            </w:r>
            <w:r w:rsidRPr="0059507F">
              <w:t>infrastructure), taking into account the current/predicted weather conditions</w:t>
            </w:r>
            <w:r>
              <w:t>, it immediately sends that modelling to  designated contact peopl</w:t>
            </w:r>
            <w:r w:rsidR="006A3F01">
              <w:t>e</w:t>
            </w:r>
            <w:r>
              <w:t xml:space="preserve"> at Hazelwood (and at other critical infrastructure). These conditions are referred to in this document as ‘Extreme Fire Danger Days’. </w:t>
            </w:r>
          </w:p>
          <w:p w:rsidR="004F2D27" w:rsidRDefault="004F2D27" w:rsidP="00E44DA2">
            <w:pPr>
              <w:pStyle w:val="ListParagraph"/>
              <w:numPr>
                <w:ilvl w:val="0"/>
                <w:numId w:val="3"/>
              </w:numPr>
              <w:spacing w:before="120" w:after="120" w:line="259" w:lineRule="auto"/>
            </w:pPr>
            <w:r>
              <w:t>CFA should provide update modelling as is appropriate, taking into account the developing fire and weather conditions, to the recipients identified above.</w:t>
            </w:r>
          </w:p>
          <w:p w:rsidR="004F2D27" w:rsidRDefault="004F2D27" w:rsidP="00E44DA2">
            <w:pPr>
              <w:pStyle w:val="ListParagraph"/>
              <w:numPr>
                <w:ilvl w:val="0"/>
                <w:numId w:val="3"/>
              </w:numPr>
              <w:spacing w:before="120" w:after="120" w:line="259" w:lineRule="auto"/>
            </w:pPr>
            <w:r>
              <w:t xml:space="preserve">Accompanying the Phoenix modelling maps supplied to the mine should be a statement of any urgent steps the CFA recommends be taken and provision of the details of  a designated contact person at the CFA to deal with any queries and provide updates as appropriate in the circumstances re the modelling.  </w:t>
            </w:r>
          </w:p>
          <w:p w:rsidR="004F2D27" w:rsidRDefault="004F2D27" w:rsidP="00E44DA2">
            <w:pPr>
              <w:pStyle w:val="ListParagraph"/>
              <w:numPr>
                <w:ilvl w:val="0"/>
                <w:numId w:val="3"/>
              </w:numPr>
              <w:spacing w:before="120" w:after="120" w:line="259" w:lineRule="auto"/>
            </w:pPr>
            <w:r>
              <w:t xml:space="preserve">CFA should train a number of staff at Hazelwood in the Phoenix modelling tool, so that mine staff are able to interpret predictive maps supplied during emergency. </w:t>
            </w:r>
          </w:p>
          <w:p w:rsidR="004F2D27" w:rsidRDefault="004F2D27" w:rsidP="00E44DA2">
            <w:pPr>
              <w:pStyle w:val="ListParagraph"/>
              <w:numPr>
                <w:ilvl w:val="0"/>
                <w:numId w:val="3"/>
              </w:numPr>
              <w:spacing w:before="120" w:after="120" w:line="259" w:lineRule="auto"/>
            </w:pPr>
            <w:r>
              <w:rPr>
                <w:color w:val="FF0000"/>
              </w:rPr>
              <w:t>Hazelwood</w:t>
            </w:r>
            <w:r w:rsidRPr="007E7D55">
              <w:rPr>
                <w:color w:val="FF0000"/>
              </w:rPr>
              <w:t xml:space="preserve"> will nominate a group of staff to be trained in the modelling tool prior to the next fire season</w:t>
            </w:r>
            <w:r>
              <w:t xml:space="preserve">.  </w:t>
            </w:r>
          </w:p>
          <w:p w:rsidR="004F2D27" w:rsidRDefault="004F2D27" w:rsidP="00C11EBE">
            <w:pPr>
              <w:pStyle w:val="ListParagraph"/>
              <w:numPr>
                <w:ilvl w:val="0"/>
                <w:numId w:val="3"/>
              </w:numPr>
              <w:spacing w:before="120" w:after="120" w:line="259" w:lineRule="auto"/>
            </w:pPr>
            <w:r>
              <w:rPr>
                <w:color w:val="FF0000"/>
              </w:rPr>
              <w:t>Hazelwood will designate s</w:t>
            </w:r>
            <w:r w:rsidRPr="007E7D55">
              <w:rPr>
                <w:color w:val="FF0000"/>
              </w:rPr>
              <w:t xml:space="preserve">pecific </w:t>
            </w:r>
            <w:r>
              <w:rPr>
                <w:color w:val="FF0000"/>
              </w:rPr>
              <w:t>people</w:t>
            </w:r>
            <w:r w:rsidRPr="007E7D55">
              <w:rPr>
                <w:color w:val="FF0000"/>
              </w:rPr>
              <w:t xml:space="preserve"> to receive </w:t>
            </w:r>
            <w:r>
              <w:rPr>
                <w:color w:val="FF0000"/>
              </w:rPr>
              <w:t xml:space="preserve">and respond to </w:t>
            </w:r>
            <w:r w:rsidRPr="007E7D55">
              <w:rPr>
                <w:color w:val="FF0000"/>
              </w:rPr>
              <w:t xml:space="preserve">these communications. </w:t>
            </w:r>
          </w:p>
        </w:tc>
        <w:tc>
          <w:tcPr>
            <w:tcW w:w="2268" w:type="dxa"/>
          </w:tcPr>
          <w:p w:rsidR="004F2D27" w:rsidRDefault="004F2D27" w:rsidP="00E44DA2">
            <w:pPr>
              <w:spacing w:before="120" w:after="120"/>
            </w:pPr>
            <w:r>
              <w:t>Cost not anticipated to be significant (note some of this is CFA expense).</w:t>
            </w:r>
          </w:p>
        </w:tc>
        <w:tc>
          <w:tcPr>
            <w:tcW w:w="2410" w:type="dxa"/>
          </w:tcPr>
          <w:p w:rsidR="004F2D27" w:rsidRDefault="004F2D27" w:rsidP="00E44DA2">
            <w:pPr>
              <w:spacing w:before="120" w:after="120"/>
            </w:pPr>
            <w:r>
              <w:t>Commence ASAP</w:t>
            </w:r>
          </w:p>
        </w:tc>
      </w:tr>
      <w:tr w:rsidR="006A3F01" w:rsidRPr="006A3F01" w:rsidTr="007416A1">
        <w:tc>
          <w:tcPr>
            <w:tcW w:w="15026" w:type="dxa"/>
            <w:gridSpan w:val="5"/>
          </w:tcPr>
          <w:p w:rsidR="006A3F01" w:rsidRPr="006A3F01" w:rsidRDefault="006A3F01" w:rsidP="006A3F01">
            <w:pPr>
              <w:spacing w:before="120" w:after="120"/>
              <w:rPr>
                <w:b/>
              </w:rPr>
            </w:pPr>
            <w:r w:rsidRPr="006A3F01">
              <w:rPr>
                <w:b/>
              </w:rPr>
              <w:t xml:space="preserve">Training in fire fighting and equipment </w:t>
            </w:r>
            <w:r>
              <w:rPr>
                <w:b/>
              </w:rPr>
              <w:t xml:space="preserve"> </w:t>
            </w:r>
            <w:r w:rsidRPr="006A3F01">
              <w:rPr>
                <w:b/>
              </w:rPr>
              <w:t xml:space="preserve"> </w:t>
            </w:r>
          </w:p>
        </w:tc>
      </w:tr>
      <w:tr w:rsidR="004F2D27" w:rsidTr="00CC6D6E">
        <w:tc>
          <w:tcPr>
            <w:tcW w:w="1560" w:type="dxa"/>
          </w:tcPr>
          <w:p w:rsidR="004F2D27" w:rsidRDefault="004F2D27" w:rsidP="00E44DA2">
            <w:pPr>
              <w:spacing w:before="120" w:after="120"/>
            </w:pPr>
            <w:r>
              <w:t>Specialised Mine fire fighting equipment</w:t>
            </w:r>
          </w:p>
        </w:tc>
        <w:tc>
          <w:tcPr>
            <w:tcW w:w="8788" w:type="dxa"/>
            <w:gridSpan w:val="2"/>
          </w:tcPr>
          <w:p w:rsidR="004F2D27" w:rsidRPr="00AB7F23" w:rsidRDefault="004F2D27" w:rsidP="005A2E6C">
            <w:pPr>
              <w:spacing w:before="120" w:after="120" w:line="259" w:lineRule="auto"/>
            </w:pPr>
            <w:r>
              <w:t xml:space="preserve">CFA should ensure that an appropriate level of aerial appliances is available in the Latrobe Valley for use at all mines, power stations and other critical infrastructure. By ‘aerial appliances’ we mean equipment which can discharge water at elevated levels e.g. aerial pumpers , telebooms , CAFs etc (but we would defer to CFA as to what is the most appropriate equipment to fight such fires). This should be available to be called out at short notice, particularly during the ‘fire season’. </w:t>
            </w:r>
          </w:p>
        </w:tc>
        <w:tc>
          <w:tcPr>
            <w:tcW w:w="2268" w:type="dxa"/>
          </w:tcPr>
          <w:p w:rsidR="004F2D27" w:rsidRDefault="004F2D27" w:rsidP="00E44DA2">
            <w:pPr>
              <w:spacing w:before="120" w:after="120"/>
            </w:pPr>
            <w:r>
              <w:t>Unknown – CFA responsibility.</w:t>
            </w:r>
          </w:p>
        </w:tc>
        <w:tc>
          <w:tcPr>
            <w:tcW w:w="2410" w:type="dxa"/>
          </w:tcPr>
          <w:p w:rsidR="004F2D27" w:rsidRDefault="004F2D27" w:rsidP="00E44DA2">
            <w:pPr>
              <w:spacing w:before="120" w:after="120"/>
            </w:pPr>
            <w:r>
              <w:t>Commence ASAP</w:t>
            </w:r>
          </w:p>
        </w:tc>
      </w:tr>
      <w:tr w:rsidR="004F2D27" w:rsidTr="0024549E">
        <w:tc>
          <w:tcPr>
            <w:tcW w:w="1560" w:type="dxa"/>
          </w:tcPr>
          <w:p w:rsidR="004F2D27" w:rsidRPr="002B632A" w:rsidRDefault="004F2D27" w:rsidP="0024549E">
            <w:pPr>
              <w:spacing w:before="120" w:after="120"/>
            </w:pPr>
            <w:r>
              <w:t>Fire training specific to the Hazelwood mine</w:t>
            </w:r>
          </w:p>
        </w:tc>
        <w:tc>
          <w:tcPr>
            <w:tcW w:w="8788" w:type="dxa"/>
            <w:gridSpan w:val="2"/>
          </w:tcPr>
          <w:p w:rsidR="004F2D27" w:rsidRPr="007E7D55" w:rsidRDefault="004F2D27" w:rsidP="0024549E">
            <w:pPr>
              <w:pStyle w:val="ListParagraph"/>
              <w:numPr>
                <w:ilvl w:val="0"/>
                <w:numId w:val="2"/>
              </w:numPr>
              <w:spacing w:before="120" w:after="120" w:line="259" w:lineRule="auto"/>
              <w:rPr>
                <w:color w:val="FF0000"/>
              </w:rPr>
            </w:pPr>
            <w:r>
              <w:rPr>
                <w:color w:val="FF0000"/>
              </w:rPr>
              <w:t>Hazelwood</w:t>
            </w:r>
            <w:r w:rsidRPr="007E7D55">
              <w:rPr>
                <w:color w:val="FF0000"/>
              </w:rPr>
              <w:t xml:space="preserve"> will offer </w:t>
            </w:r>
            <w:r>
              <w:rPr>
                <w:color w:val="FF0000"/>
              </w:rPr>
              <w:t xml:space="preserve">enhanced </w:t>
            </w:r>
            <w:r w:rsidRPr="007E7D55">
              <w:rPr>
                <w:color w:val="FF0000"/>
              </w:rPr>
              <w:t xml:space="preserve">training </w:t>
            </w:r>
            <w:r>
              <w:rPr>
                <w:color w:val="FF0000"/>
              </w:rPr>
              <w:t xml:space="preserve">(beyond the training currently offered to the ‘Morwell Group’ i.e. the CFA brigades close to Morwell) </w:t>
            </w:r>
            <w:r w:rsidRPr="007E7D55">
              <w:rPr>
                <w:color w:val="FF0000"/>
              </w:rPr>
              <w:t>prior to the next fire season and on an ongoing basis in relation to:</w:t>
            </w:r>
          </w:p>
          <w:p w:rsidR="004F2D27" w:rsidRDefault="004F2D27" w:rsidP="0024549E">
            <w:pPr>
              <w:pStyle w:val="ListParagraph"/>
              <w:numPr>
                <w:ilvl w:val="1"/>
                <w:numId w:val="2"/>
              </w:numPr>
              <w:spacing w:before="120" w:after="120" w:line="259" w:lineRule="auto"/>
              <w:rPr>
                <w:color w:val="FF0000"/>
              </w:rPr>
            </w:pPr>
            <w:r w:rsidRPr="007E7D55">
              <w:rPr>
                <w:color w:val="FF0000"/>
              </w:rPr>
              <w:t xml:space="preserve">Orientation, maps, roads within the mine and location of fire </w:t>
            </w:r>
            <w:r>
              <w:rPr>
                <w:color w:val="FF0000"/>
              </w:rPr>
              <w:t>fighting infrastructure in the M</w:t>
            </w:r>
            <w:r w:rsidRPr="007E7D55">
              <w:rPr>
                <w:color w:val="FF0000"/>
              </w:rPr>
              <w:t>ine</w:t>
            </w:r>
            <w:r>
              <w:rPr>
                <w:color w:val="FF0000"/>
              </w:rPr>
              <w:t>;</w:t>
            </w:r>
          </w:p>
          <w:p w:rsidR="004F2D27" w:rsidRPr="007E7D55" w:rsidRDefault="004F2D27" w:rsidP="0024549E">
            <w:pPr>
              <w:pStyle w:val="ListParagraph"/>
              <w:numPr>
                <w:ilvl w:val="1"/>
                <w:numId w:val="2"/>
              </w:numPr>
              <w:spacing w:before="120" w:after="120" w:line="259" w:lineRule="auto"/>
              <w:rPr>
                <w:color w:val="FF0000"/>
              </w:rPr>
            </w:pPr>
            <w:r>
              <w:rPr>
                <w:color w:val="FF0000"/>
              </w:rPr>
              <w:t>Ongoing use of Hazelwood escorts to accompany non-Hazelwood vehicles on-site;</w:t>
            </w:r>
            <w:r w:rsidRPr="007E7D55">
              <w:rPr>
                <w:color w:val="FF0000"/>
              </w:rPr>
              <w:t xml:space="preserve"> </w:t>
            </w:r>
          </w:p>
          <w:p w:rsidR="004F2D27" w:rsidRPr="007E7D55" w:rsidRDefault="004F2D27" w:rsidP="0024549E">
            <w:pPr>
              <w:pStyle w:val="ListParagraph"/>
              <w:numPr>
                <w:ilvl w:val="1"/>
                <w:numId w:val="2"/>
              </w:numPr>
              <w:spacing w:before="120" w:after="120" w:line="259" w:lineRule="auto"/>
              <w:rPr>
                <w:color w:val="FF0000"/>
              </w:rPr>
            </w:pPr>
            <w:r>
              <w:rPr>
                <w:color w:val="FF0000"/>
              </w:rPr>
              <w:t>The Mine’s emergency</w:t>
            </w:r>
            <w:r w:rsidRPr="007E7D55">
              <w:rPr>
                <w:color w:val="FF0000"/>
              </w:rPr>
              <w:t xml:space="preserve"> response procedures and command structure in use during fire</w:t>
            </w:r>
            <w:r>
              <w:rPr>
                <w:color w:val="FF0000"/>
              </w:rPr>
              <w:t>;</w:t>
            </w:r>
            <w:r w:rsidRPr="007E7D55">
              <w:rPr>
                <w:color w:val="FF0000"/>
              </w:rPr>
              <w:t xml:space="preserve"> </w:t>
            </w:r>
          </w:p>
          <w:p w:rsidR="004F2D27" w:rsidRDefault="004F2D27" w:rsidP="0024549E">
            <w:pPr>
              <w:pStyle w:val="ListParagraph"/>
              <w:numPr>
                <w:ilvl w:val="1"/>
                <w:numId w:val="2"/>
              </w:numPr>
              <w:spacing w:before="120" w:after="120" w:line="259" w:lineRule="auto"/>
              <w:rPr>
                <w:color w:val="FF0000"/>
              </w:rPr>
            </w:pPr>
            <w:r w:rsidRPr="007E7D55">
              <w:rPr>
                <w:color w:val="FF0000"/>
              </w:rPr>
              <w:t>Communications in the mine during emergencies including compatible radio frequencies</w:t>
            </w:r>
            <w:r>
              <w:rPr>
                <w:color w:val="FF0000"/>
              </w:rPr>
              <w:t xml:space="preserve"> (Hazelwood will provide our own radios, as was done in the 2014 fire).</w:t>
            </w:r>
            <w:r w:rsidRPr="007E7D55">
              <w:rPr>
                <w:color w:val="FF0000"/>
              </w:rPr>
              <w:t xml:space="preserve"> </w:t>
            </w:r>
          </w:p>
          <w:p w:rsidR="004F2D27" w:rsidRDefault="004F2D27" w:rsidP="0024549E">
            <w:pPr>
              <w:pStyle w:val="ListParagraph"/>
              <w:numPr>
                <w:ilvl w:val="0"/>
                <w:numId w:val="2"/>
              </w:numPr>
              <w:spacing w:before="120" w:after="120" w:line="259" w:lineRule="auto"/>
              <w:rPr>
                <w:color w:val="FF0000"/>
              </w:rPr>
            </w:pPr>
            <w:r>
              <w:rPr>
                <w:color w:val="FF0000"/>
              </w:rPr>
              <w:t>Hazelwood will also offer this enhanced training to CFA personnel and other relevant emergency service agencies (e.g. SES, Victoria Police) within a [25] kilometre radius of the Mine (appropriate radius range to be discussed with the relevant authorities).</w:t>
            </w:r>
          </w:p>
          <w:p w:rsidR="004F2D27" w:rsidRPr="00AB7F23" w:rsidRDefault="004F2D27" w:rsidP="002272DC">
            <w:pPr>
              <w:pStyle w:val="ListParagraph"/>
              <w:numPr>
                <w:ilvl w:val="0"/>
                <w:numId w:val="2"/>
              </w:numPr>
              <w:spacing w:before="120" w:after="120" w:line="259" w:lineRule="auto"/>
              <w:rPr>
                <w:color w:val="FF0000"/>
              </w:rPr>
            </w:pPr>
            <w:r>
              <w:rPr>
                <w:color w:val="FF0000"/>
              </w:rPr>
              <w:t xml:space="preserve">Hazelwood will provide more training to personnel who are intended to perform a role under the emergency command structure detailed under </w:t>
            </w:r>
            <w:r w:rsidR="002272DC">
              <w:rPr>
                <w:color w:val="FF0000"/>
              </w:rPr>
              <w:t xml:space="preserve">the </w:t>
            </w:r>
            <w:r>
              <w:rPr>
                <w:color w:val="FF0000"/>
              </w:rPr>
              <w:t>‘Hazelwood emergency command structure</w:t>
            </w:r>
            <w:r w:rsidR="002272DC">
              <w:rPr>
                <w:color w:val="FF0000"/>
              </w:rPr>
              <w:t xml:space="preserve"> section  below</w:t>
            </w:r>
            <w:r>
              <w:rPr>
                <w:color w:val="FF0000"/>
              </w:rPr>
              <w:t>.</w:t>
            </w:r>
          </w:p>
        </w:tc>
        <w:tc>
          <w:tcPr>
            <w:tcW w:w="2268" w:type="dxa"/>
          </w:tcPr>
          <w:p w:rsidR="004F2D27" w:rsidRPr="002B632A" w:rsidRDefault="004F2D27" w:rsidP="0024549E">
            <w:pPr>
              <w:spacing w:before="120" w:after="120"/>
            </w:pPr>
            <w:r>
              <w:t xml:space="preserve">Mainly personnel time (to be quantified). </w:t>
            </w:r>
          </w:p>
        </w:tc>
        <w:tc>
          <w:tcPr>
            <w:tcW w:w="2410" w:type="dxa"/>
          </w:tcPr>
          <w:p w:rsidR="004F2D27" w:rsidRPr="002B632A" w:rsidRDefault="004F2D27" w:rsidP="0024549E">
            <w:pPr>
              <w:spacing w:before="120" w:after="120"/>
            </w:pPr>
            <w:r>
              <w:t>Commence ASAP</w:t>
            </w:r>
          </w:p>
        </w:tc>
      </w:tr>
      <w:tr w:rsidR="006A3F01" w:rsidRPr="006A3F01" w:rsidTr="00020D68">
        <w:tc>
          <w:tcPr>
            <w:tcW w:w="15026" w:type="dxa"/>
            <w:gridSpan w:val="5"/>
          </w:tcPr>
          <w:p w:rsidR="006A3F01" w:rsidRPr="006A3F01" w:rsidRDefault="006A3F01" w:rsidP="006A3F01">
            <w:pPr>
              <w:spacing w:before="120" w:after="120"/>
              <w:rPr>
                <w:b/>
              </w:rPr>
            </w:pPr>
            <w:r w:rsidRPr="006A3F01">
              <w:rPr>
                <w:b/>
              </w:rPr>
              <w:t xml:space="preserve">Emergency response </w:t>
            </w:r>
            <w:r>
              <w:rPr>
                <w:b/>
              </w:rPr>
              <w:t xml:space="preserve"> </w:t>
            </w:r>
          </w:p>
        </w:tc>
      </w:tr>
      <w:tr w:rsidR="006A3F01" w:rsidTr="00734259">
        <w:tc>
          <w:tcPr>
            <w:tcW w:w="1560" w:type="dxa"/>
          </w:tcPr>
          <w:p w:rsidR="006A3F01" w:rsidRPr="005D06BD" w:rsidRDefault="006A3F01" w:rsidP="00734259">
            <w:pPr>
              <w:spacing w:before="120" w:after="120"/>
            </w:pPr>
            <w:r>
              <w:t>Hazelwood emergency command structure</w:t>
            </w:r>
          </w:p>
        </w:tc>
        <w:tc>
          <w:tcPr>
            <w:tcW w:w="8788" w:type="dxa"/>
            <w:gridSpan w:val="2"/>
          </w:tcPr>
          <w:p w:rsidR="006A3F01" w:rsidRDefault="006A3F01" w:rsidP="00734259">
            <w:pPr>
              <w:pStyle w:val="ListParagraph"/>
              <w:numPr>
                <w:ilvl w:val="0"/>
                <w:numId w:val="2"/>
              </w:numPr>
              <w:spacing w:before="120" w:after="120" w:line="259" w:lineRule="auto"/>
              <w:rPr>
                <w:color w:val="FF0000"/>
              </w:rPr>
            </w:pPr>
            <w:r>
              <w:rPr>
                <w:color w:val="FF0000"/>
              </w:rPr>
              <w:t xml:space="preserve">Hazelwood </w:t>
            </w:r>
            <w:r w:rsidRPr="005648D3">
              <w:rPr>
                <w:color w:val="FF0000"/>
              </w:rPr>
              <w:t>will establish a</w:t>
            </w:r>
            <w:r>
              <w:rPr>
                <w:color w:val="FF0000"/>
              </w:rPr>
              <w:t>n emergency</w:t>
            </w:r>
            <w:r w:rsidRPr="005648D3">
              <w:rPr>
                <w:color w:val="FF0000"/>
              </w:rPr>
              <w:t xml:space="preserve"> command structure at the</w:t>
            </w:r>
            <w:r>
              <w:rPr>
                <w:color w:val="FF0000"/>
              </w:rPr>
              <w:t xml:space="preserve"> Mine to deal with Extreme Fire Danger Days whenever they arise and nominate a pool of candidates who are able to act in these roles when required. </w:t>
            </w:r>
          </w:p>
          <w:p w:rsidR="006A3F01" w:rsidRDefault="006A3F01" w:rsidP="00734259">
            <w:pPr>
              <w:pStyle w:val="ListParagraph"/>
              <w:numPr>
                <w:ilvl w:val="0"/>
                <w:numId w:val="2"/>
              </w:numPr>
              <w:spacing w:before="120" w:after="120" w:line="259" w:lineRule="auto"/>
              <w:rPr>
                <w:color w:val="FF0000"/>
              </w:rPr>
            </w:pPr>
            <w:r>
              <w:rPr>
                <w:color w:val="FF0000"/>
              </w:rPr>
              <w:t xml:space="preserve">Whenever notified of an Extreme Fire Day(s), Hazelwood will assign </w:t>
            </w:r>
            <w:r w:rsidR="005A2E6C">
              <w:rPr>
                <w:color w:val="FF0000"/>
              </w:rPr>
              <w:t>in advance</w:t>
            </w:r>
            <w:r>
              <w:rPr>
                <w:color w:val="FF0000"/>
              </w:rPr>
              <w:t xml:space="preserve"> particular roles </w:t>
            </w:r>
            <w:r w:rsidRPr="005648D3">
              <w:rPr>
                <w:color w:val="FF0000"/>
              </w:rPr>
              <w:t>under that</w:t>
            </w:r>
            <w:r>
              <w:rPr>
                <w:color w:val="FF0000"/>
              </w:rPr>
              <w:t xml:space="preserve"> emergency </w:t>
            </w:r>
            <w:r w:rsidRPr="005648D3">
              <w:rPr>
                <w:color w:val="FF0000"/>
              </w:rPr>
              <w:t xml:space="preserve"> command structure</w:t>
            </w:r>
            <w:r>
              <w:rPr>
                <w:color w:val="FF0000"/>
              </w:rPr>
              <w:t xml:space="preserve"> to personnel selected from that pool of candidates to act in these roles</w:t>
            </w:r>
            <w:r w:rsidR="005A2E6C">
              <w:rPr>
                <w:color w:val="FF0000"/>
              </w:rPr>
              <w:t xml:space="preserve"> at site</w:t>
            </w:r>
            <w:r>
              <w:rPr>
                <w:color w:val="FF0000"/>
              </w:rPr>
              <w:t>.</w:t>
            </w:r>
            <w:r w:rsidRPr="005648D3">
              <w:rPr>
                <w:color w:val="FF0000"/>
              </w:rPr>
              <w:t xml:space="preserve"> </w:t>
            </w:r>
          </w:p>
          <w:p w:rsidR="006A3F01" w:rsidRDefault="006A3F01" w:rsidP="00734259">
            <w:pPr>
              <w:pStyle w:val="ListParagraph"/>
              <w:numPr>
                <w:ilvl w:val="0"/>
                <w:numId w:val="2"/>
              </w:numPr>
              <w:spacing w:before="120" w:after="120" w:line="259" w:lineRule="auto"/>
              <w:rPr>
                <w:color w:val="FF0000"/>
              </w:rPr>
            </w:pPr>
            <w:r>
              <w:rPr>
                <w:color w:val="FF0000"/>
              </w:rPr>
              <w:t>Hazelwood</w:t>
            </w:r>
            <w:r w:rsidRPr="005648D3">
              <w:rPr>
                <w:color w:val="FF0000"/>
              </w:rPr>
              <w:t xml:space="preserve"> will notify CFA of the identity and contact details of those </w:t>
            </w:r>
            <w:r>
              <w:rPr>
                <w:color w:val="FF0000"/>
              </w:rPr>
              <w:t xml:space="preserve">personnel </w:t>
            </w:r>
            <w:r w:rsidRPr="005648D3">
              <w:rPr>
                <w:color w:val="FF0000"/>
              </w:rPr>
              <w:t>holding the</w:t>
            </w:r>
            <w:r>
              <w:rPr>
                <w:color w:val="FF0000"/>
              </w:rPr>
              <w:t>se</w:t>
            </w:r>
            <w:r w:rsidRPr="005648D3">
              <w:rPr>
                <w:color w:val="FF0000"/>
              </w:rPr>
              <w:t xml:space="preserve"> roles. </w:t>
            </w:r>
          </w:p>
          <w:p w:rsidR="006A3F01" w:rsidRPr="00E94F1C" w:rsidRDefault="006A3F01" w:rsidP="00734259">
            <w:pPr>
              <w:pStyle w:val="ListParagraph"/>
              <w:numPr>
                <w:ilvl w:val="0"/>
                <w:numId w:val="2"/>
              </w:numPr>
              <w:spacing w:before="120" w:after="120" w:line="259" w:lineRule="auto"/>
            </w:pPr>
            <w:r>
              <w:t xml:space="preserve">CFA/ICC must notify Hazelwood and other critical infrastructure operators who may be impacted by the Extreme Fire Danger Day conditions about the level of fire fighting personnel and equipment that is available to assist, and to provide updates on such availability at a frequency that is commensurate with the level of risk in the developing situation. </w:t>
            </w:r>
          </w:p>
        </w:tc>
        <w:tc>
          <w:tcPr>
            <w:tcW w:w="2268" w:type="dxa"/>
          </w:tcPr>
          <w:p w:rsidR="006A3F01" w:rsidRPr="008D7B4C" w:rsidRDefault="006A3F01" w:rsidP="00734259">
            <w:pPr>
              <w:pStyle w:val="ListParagraph"/>
              <w:numPr>
                <w:ilvl w:val="0"/>
                <w:numId w:val="2"/>
              </w:numPr>
              <w:spacing w:before="120" w:after="120"/>
              <w:rPr>
                <w:color w:val="FF0000"/>
              </w:rPr>
            </w:pPr>
            <w:r w:rsidRPr="008D7B4C">
              <w:rPr>
                <w:color w:val="FF0000"/>
              </w:rPr>
              <w:t>HPP: Personnel cost plus cost of additional contracted personnel and equipment (will vary).</w:t>
            </w:r>
          </w:p>
          <w:p w:rsidR="006A3F01" w:rsidRDefault="006A3F01" w:rsidP="00734259">
            <w:pPr>
              <w:pStyle w:val="ListParagraph"/>
              <w:numPr>
                <w:ilvl w:val="0"/>
                <w:numId w:val="2"/>
              </w:numPr>
              <w:spacing w:before="120" w:after="120"/>
            </w:pPr>
            <w:r>
              <w:t>CFA: unknown what it would cost them to provide these notifications and updates.</w:t>
            </w:r>
          </w:p>
        </w:tc>
        <w:tc>
          <w:tcPr>
            <w:tcW w:w="2410" w:type="dxa"/>
          </w:tcPr>
          <w:p w:rsidR="006A3F01" w:rsidRDefault="006A3F01" w:rsidP="00734259">
            <w:pPr>
              <w:spacing w:before="120" w:after="120"/>
            </w:pPr>
            <w:r>
              <w:t>Commence ASAP</w:t>
            </w:r>
          </w:p>
        </w:tc>
      </w:tr>
      <w:tr w:rsidR="006A3F01" w:rsidTr="00750C20">
        <w:tc>
          <w:tcPr>
            <w:tcW w:w="1560" w:type="dxa"/>
          </w:tcPr>
          <w:p w:rsidR="006A3F01" w:rsidRPr="00F702D1" w:rsidRDefault="006A3F01" w:rsidP="00750C20">
            <w:pPr>
              <w:spacing w:before="120" w:after="120"/>
              <w:rPr>
                <w:color w:val="FF0000"/>
              </w:rPr>
            </w:pPr>
            <w:r w:rsidRPr="00F702D1">
              <w:rPr>
                <w:color w:val="FF0000"/>
              </w:rPr>
              <w:t>Additional fire personnel</w:t>
            </w:r>
          </w:p>
        </w:tc>
        <w:tc>
          <w:tcPr>
            <w:tcW w:w="8788" w:type="dxa"/>
            <w:gridSpan w:val="2"/>
          </w:tcPr>
          <w:p w:rsidR="006A3F01" w:rsidRDefault="006A3F01" w:rsidP="00750C20">
            <w:pPr>
              <w:pStyle w:val="ListParagraph"/>
              <w:numPr>
                <w:ilvl w:val="0"/>
                <w:numId w:val="13"/>
              </w:numPr>
              <w:spacing w:before="120" w:after="120" w:line="259" w:lineRule="auto"/>
              <w:rPr>
                <w:color w:val="FF0000"/>
              </w:rPr>
            </w:pPr>
            <w:r w:rsidRPr="000C3108">
              <w:rPr>
                <w:color w:val="FF0000"/>
              </w:rPr>
              <w:t>On Extreme Fire Danger Days, Hazelwood will ensure more personnel are rostered on and additional contractors are available for dedicated fire protection duties e.g. instead of one 1x7 crew, have the equivalent of two crews</w:t>
            </w:r>
            <w:r w:rsidR="006F5413">
              <w:rPr>
                <w:color w:val="FF0000"/>
              </w:rPr>
              <w:t xml:space="preserve"> </w:t>
            </w:r>
            <w:r w:rsidR="00B51451">
              <w:rPr>
                <w:color w:val="FF0000"/>
              </w:rPr>
              <w:t>available</w:t>
            </w:r>
            <w:r w:rsidR="006F5413">
              <w:rPr>
                <w:color w:val="FF0000"/>
              </w:rPr>
              <w:t xml:space="preserve">, as </w:t>
            </w:r>
            <w:r w:rsidR="00B51451">
              <w:rPr>
                <w:color w:val="FF0000"/>
              </w:rPr>
              <w:t>required</w:t>
            </w:r>
            <w:r w:rsidR="006F5413">
              <w:rPr>
                <w:color w:val="FF0000"/>
              </w:rPr>
              <w:t xml:space="preserve"> in the circumstances</w:t>
            </w:r>
            <w:r w:rsidRPr="000C3108">
              <w:rPr>
                <w:color w:val="FF0000"/>
              </w:rPr>
              <w:t xml:space="preserve">. </w:t>
            </w:r>
          </w:p>
          <w:p w:rsidR="006A3F01" w:rsidRPr="000C3108" w:rsidRDefault="006A3F01" w:rsidP="00750C20">
            <w:pPr>
              <w:pStyle w:val="ListParagraph"/>
              <w:numPr>
                <w:ilvl w:val="0"/>
                <w:numId w:val="13"/>
              </w:numPr>
              <w:spacing w:before="120" w:after="120" w:line="259" w:lineRule="auto"/>
              <w:rPr>
                <w:color w:val="FF0000"/>
              </w:rPr>
            </w:pPr>
            <w:r w:rsidRPr="000C3108">
              <w:rPr>
                <w:color w:val="FF0000"/>
              </w:rPr>
              <w:t xml:space="preserve">The amount of additional </w:t>
            </w:r>
            <w:r>
              <w:rPr>
                <w:color w:val="FF0000"/>
              </w:rPr>
              <w:t xml:space="preserve">trained </w:t>
            </w:r>
            <w:r w:rsidRPr="000C3108">
              <w:rPr>
                <w:color w:val="FF0000"/>
              </w:rPr>
              <w:t>contractor support, including plant and equipment, will reflect internal staffing availability and, to some extent, the level of support that the CFA advises it has available.</w:t>
            </w:r>
          </w:p>
        </w:tc>
        <w:tc>
          <w:tcPr>
            <w:tcW w:w="2268" w:type="dxa"/>
          </w:tcPr>
          <w:p w:rsidR="006A3F01" w:rsidRDefault="006A3F01" w:rsidP="00750C20">
            <w:pPr>
              <w:spacing w:before="120" w:after="120"/>
            </w:pPr>
            <w:r w:rsidRPr="00F702D1">
              <w:rPr>
                <w:color w:val="FF0000"/>
              </w:rPr>
              <w:t xml:space="preserve">Additional personnel </w:t>
            </w:r>
            <w:r>
              <w:rPr>
                <w:color w:val="FF0000"/>
              </w:rPr>
              <w:t xml:space="preserve">and contractor </w:t>
            </w:r>
            <w:r w:rsidRPr="00F702D1">
              <w:rPr>
                <w:color w:val="FF0000"/>
              </w:rPr>
              <w:t>cost</w:t>
            </w:r>
            <w:r>
              <w:rPr>
                <w:color w:val="FF0000"/>
              </w:rPr>
              <w:t xml:space="preserve"> (will vary)</w:t>
            </w:r>
            <w:r w:rsidRPr="00F702D1">
              <w:rPr>
                <w:color w:val="FF0000"/>
              </w:rPr>
              <w:t>.</w:t>
            </w:r>
          </w:p>
        </w:tc>
        <w:tc>
          <w:tcPr>
            <w:tcW w:w="2410" w:type="dxa"/>
          </w:tcPr>
          <w:p w:rsidR="006A3F01" w:rsidRDefault="006A3F01" w:rsidP="00750C20">
            <w:pPr>
              <w:spacing w:before="120" w:after="120"/>
            </w:pPr>
            <w:r w:rsidRPr="00F702D1">
              <w:rPr>
                <w:color w:val="FF0000"/>
              </w:rPr>
              <w:t>Commence ASAP</w:t>
            </w:r>
          </w:p>
        </w:tc>
      </w:tr>
      <w:tr w:rsidR="006A3F01" w:rsidTr="003E6BDA">
        <w:tc>
          <w:tcPr>
            <w:tcW w:w="1560" w:type="dxa"/>
          </w:tcPr>
          <w:p w:rsidR="006A3F01" w:rsidRPr="000C3108" w:rsidRDefault="006A3F01" w:rsidP="003E6BDA">
            <w:pPr>
              <w:spacing w:before="120" w:after="120"/>
              <w:rPr>
                <w:color w:val="FF0000"/>
              </w:rPr>
            </w:pPr>
            <w:r w:rsidRPr="000C3108">
              <w:rPr>
                <w:color w:val="FF0000"/>
              </w:rPr>
              <w:t>Additional signage</w:t>
            </w:r>
          </w:p>
        </w:tc>
        <w:tc>
          <w:tcPr>
            <w:tcW w:w="8788" w:type="dxa"/>
            <w:gridSpan w:val="2"/>
          </w:tcPr>
          <w:p w:rsidR="006A3F01" w:rsidRPr="000C3108" w:rsidRDefault="006A3F01" w:rsidP="003E6BDA">
            <w:pPr>
              <w:spacing w:before="120" w:after="120" w:line="259" w:lineRule="auto"/>
              <w:rPr>
                <w:color w:val="FF0000"/>
              </w:rPr>
            </w:pPr>
            <w:r>
              <w:rPr>
                <w:color w:val="FF0000"/>
              </w:rPr>
              <w:t xml:space="preserve">Hazelwood will upgrade signage within the Mine to make orientation easier for non-Mine personnel. </w:t>
            </w:r>
          </w:p>
        </w:tc>
        <w:tc>
          <w:tcPr>
            <w:tcW w:w="2268" w:type="dxa"/>
          </w:tcPr>
          <w:p w:rsidR="006A3F01" w:rsidRPr="000C3108" w:rsidRDefault="006A3F01" w:rsidP="003E6BDA">
            <w:pPr>
              <w:spacing w:before="120" w:after="120"/>
              <w:rPr>
                <w:color w:val="FF0000"/>
              </w:rPr>
            </w:pPr>
            <w:r>
              <w:rPr>
                <w:color w:val="FF0000"/>
              </w:rPr>
              <w:t>Cost to be quantified.</w:t>
            </w:r>
          </w:p>
        </w:tc>
        <w:tc>
          <w:tcPr>
            <w:tcW w:w="2410" w:type="dxa"/>
          </w:tcPr>
          <w:p w:rsidR="006A3F01" w:rsidRPr="000C3108" w:rsidRDefault="006A3F01" w:rsidP="003E6BDA">
            <w:pPr>
              <w:spacing w:before="120" w:after="120"/>
              <w:rPr>
                <w:color w:val="FF0000"/>
              </w:rPr>
            </w:pPr>
            <w:r>
              <w:rPr>
                <w:color w:val="FF0000"/>
              </w:rPr>
              <w:t>During 2014</w:t>
            </w:r>
          </w:p>
        </w:tc>
      </w:tr>
      <w:tr w:rsidR="00AF0DE2" w:rsidRPr="006A3F01" w:rsidTr="00CE51DA">
        <w:tc>
          <w:tcPr>
            <w:tcW w:w="15026" w:type="dxa"/>
            <w:gridSpan w:val="5"/>
          </w:tcPr>
          <w:p w:rsidR="00AF0DE2" w:rsidRPr="006A3F01" w:rsidRDefault="00AF0DE2" w:rsidP="00CE51DA">
            <w:pPr>
              <w:spacing w:before="120" w:after="120"/>
              <w:rPr>
                <w:b/>
              </w:rPr>
            </w:pPr>
            <w:r w:rsidRPr="006A3F01">
              <w:rPr>
                <w:b/>
              </w:rPr>
              <w:t>Power supply for fighting fires</w:t>
            </w:r>
          </w:p>
        </w:tc>
      </w:tr>
      <w:tr w:rsidR="00AF0DE2" w:rsidTr="00CC6D6E">
        <w:tc>
          <w:tcPr>
            <w:tcW w:w="1560" w:type="dxa"/>
          </w:tcPr>
          <w:p w:rsidR="00AF0DE2" w:rsidRDefault="00AF0DE2" w:rsidP="00CE51DA">
            <w:pPr>
              <w:spacing w:before="120" w:after="120"/>
            </w:pPr>
            <w:r>
              <w:t xml:space="preserve">  </w:t>
            </w:r>
          </w:p>
          <w:p w:rsidR="00AF0DE2" w:rsidRDefault="00AF0DE2" w:rsidP="00CE51DA">
            <w:pPr>
              <w:spacing w:before="120" w:after="120"/>
            </w:pPr>
            <w:r>
              <w:t xml:space="preserve">Redundancy in power supply </w:t>
            </w:r>
          </w:p>
        </w:tc>
        <w:tc>
          <w:tcPr>
            <w:tcW w:w="8788" w:type="dxa"/>
            <w:gridSpan w:val="2"/>
          </w:tcPr>
          <w:p w:rsidR="00AF0DE2" w:rsidRDefault="00AF0DE2" w:rsidP="00CE51DA">
            <w:pPr>
              <w:pStyle w:val="ListParagraph"/>
              <w:numPr>
                <w:ilvl w:val="0"/>
                <w:numId w:val="3"/>
              </w:numPr>
              <w:spacing w:before="120" w:after="120" w:line="259" w:lineRule="auto"/>
            </w:pPr>
            <w:r w:rsidRPr="005648D3">
              <w:t xml:space="preserve">SP Ausnet should replace the wooden poles </w:t>
            </w:r>
            <w:r>
              <w:t xml:space="preserve">in and around the Mine </w:t>
            </w:r>
            <w:r w:rsidRPr="005648D3">
              <w:t xml:space="preserve">which hold the transmission lines with concrete poles to avoid loss of the poles again in fire. </w:t>
            </w:r>
          </w:p>
          <w:p w:rsidR="00AF0DE2" w:rsidRDefault="00AF0DE2" w:rsidP="00CE51DA">
            <w:pPr>
              <w:pStyle w:val="ListParagraph"/>
              <w:numPr>
                <w:ilvl w:val="0"/>
                <w:numId w:val="3"/>
              </w:numPr>
              <w:spacing w:before="120" w:after="120" w:line="259" w:lineRule="auto"/>
            </w:pPr>
            <w:r>
              <w:t xml:space="preserve">SP Ausnet should install four isolator switches at the point where the 66kV lines enter Hazelwood premises (i.e. the south eastern corner of the site). This will: </w:t>
            </w:r>
          </w:p>
          <w:p w:rsidR="00AF0DE2" w:rsidRDefault="00AF0DE2" w:rsidP="00CE51DA">
            <w:pPr>
              <w:pStyle w:val="ListParagraph"/>
              <w:numPr>
                <w:ilvl w:val="1"/>
                <w:numId w:val="3"/>
              </w:numPr>
              <w:spacing w:before="120" w:after="120" w:line="259" w:lineRule="auto"/>
            </w:pPr>
            <w:r>
              <w:t>increase redundancy in the 66kV supply;</w:t>
            </w:r>
          </w:p>
          <w:p w:rsidR="00AF0DE2" w:rsidRDefault="00AF0DE2" w:rsidP="00CE51DA">
            <w:pPr>
              <w:pStyle w:val="ListParagraph"/>
              <w:numPr>
                <w:ilvl w:val="1"/>
                <w:numId w:val="3"/>
              </w:numPr>
              <w:spacing w:before="120" w:after="120" w:line="259" w:lineRule="auto"/>
            </w:pPr>
            <w:r>
              <w:t xml:space="preserve">allow SP Ausnet to quickly isolate any  line which is damaged; </w:t>
            </w:r>
          </w:p>
          <w:p w:rsidR="00AF0DE2" w:rsidRDefault="00AF0DE2" w:rsidP="00CE51DA">
            <w:pPr>
              <w:pStyle w:val="ListParagraph"/>
              <w:numPr>
                <w:ilvl w:val="1"/>
                <w:numId w:val="3"/>
              </w:numPr>
              <w:spacing w:before="120" w:after="120" w:line="259" w:lineRule="auto"/>
            </w:pPr>
            <w:r>
              <w:t xml:space="preserve">restore power into the Mine quickly (which was not the case in February because there were no switches installed, requiring a lot more difficulty and time to re-energise lines); </w:t>
            </w:r>
          </w:p>
          <w:p w:rsidR="00AF0DE2" w:rsidRDefault="00AF0DE2" w:rsidP="006F16F6">
            <w:pPr>
              <w:pStyle w:val="ListParagraph"/>
              <w:numPr>
                <w:ilvl w:val="1"/>
                <w:numId w:val="3"/>
              </w:numPr>
              <w:spacing w:before="120" w:after="120" w:line="259" w:lineRule="auto"/>
            </w:pPr>
            <w:r>
              <w:t xml:space="preserve">ensure that power supply is </w:t>
            </w:r>
            <w:r w:rsidR="006F16F6">
              <w:t>minimally interrupted</w:t>
            </w:r>
            <w:r>
              <w:t xml:space="preserve"> to the pumps within the site during fire.</w:t>
            </w:r>
          </w:p>
          <w:p w:rsidR="006F16F6" w:rsidRDefault="006F16F6" w:rsidP="006F16F6">
            <w:pPr>
              <w:pStyle w:val="ListParagraph"/>
              <w:numPr>
                <w:ilvl w:val="0"/>
                <w:numId w:val="3"/>
              </w:numPr>
              <w:spacing w:before="120" w:after="120" w:line="259" w:lineRule="auto"/>
            </w:pPr>
            <w:r>
              <w:t xml:space="preserve">Hazelwood will undertake a review of any other required steps to address any other redundancies in the electrical system. </w:t>
            </w:r>
          </w:p>
        </w:tc>
        <w:tc>
          <w:tcPr>
            <w:tcW w:w="2268" w:type="dxa"/>
          </w:tcPr>
          <w:p w:rsidR="00AF0DE2" w:rsidRDefault="00AF0DE2" w:rsidP="00CE51DA">
            <w:pPr>
              <w:pStyle w:val="ListParagraph"/>
              <w:numPr>
                <w:ilvl w:val="0"/>
                <w:numId w:val="3"/>
              </w:numPr>
              <w:spacing w:before="120" w:after="120"/>
            </w:pPr>
            <w:r>
              <w:t xml:space="preserve">Wooden poles : cost unknown – but not anticipated to be significant. </w:t>
            </w:r>
          </w:p>
          <w:p w:rsidR="00AF0DE2" w:rsidRDefault="00AF0DE2" w:rsidP="00CE51DA">
            <w:pPr>
              <w:pStyle w:val="ListParagraph"/>
              <w:numPr>
                <w:ilvl w:val="0"/>
                <w:numId w:val="3"/>
              </w:numPr>
              <w:spacing w:before="120" w:after="120"/>
            </w:pPr>
            <w:r>
              <w:t>Switches: cost unknown – anticipated to be about $100k.</w:t>
            </w:r>
          </w:p>
          <w:p w:rsidR="006F16F6" w:rsidRDefault="006F16F6" w:rsidP="00CE51DA">
            <w:pPr>
              <w:pStyle w:val="ListParagraph"/>
              <w:numPr>
                <w:ilvl w:val="0"/>
                <w:numId w:val="3"/>
              </w:numPr>
              <w:spacing w:before="120" w:after="120"/>
            </w:pPr>
            <w:r>
              <w:t>Review cost: unknown.</w:t>
            </w:r>
          </w:p>
        </w:tc>
        <w:tc>
          <w:tcPr>
            <w:tcW w:w="2410" w:type="dxa"/>
          </w:tcPr>
          <w:p w:rsidR="006F16F6" w:rsidRDefault="00AF0DE2" w:rsidP="00CE51DA">
            <w:pPr>
              <w:pStyle w:val="ListParagraph"/>
              <w:numPr>
                <w:ilvl w:val="0"/>
                <w:numId w:val="3"/>
              </w:numPr>
              <w:spacing w:before="120" w:after="120"/>
            </w:pPr>
            <w:r>
              <w:t>Wooden poles and switches : ASAP (noting SP Ausnet recently reinstalled wooden poles on northern batters). In particular, isolator switch installation should be a quick fix which provides significant immediate benefit.</w:t>
            </w:r>
          </w:p>
          <w:p w:rsidR="00AF0DE2" w:rsidRDefault="006F16F6" w:rsidP="00CE51DA">
            <w:pPr>
              <w:pStyle w:val="ListParagraph"/>
              <w:numPr>
                <w:ilvl w:val="0"/>
                <w:numId w:val="3"/>
              </w:numPr>
              <w:spacing w:before="120" w:after="120"/>
            </w:pPr>
            <w:r>
              <w:t>Review time: commence ASAP.</w:t>
            </w:r>
            <w:r w:rsidR="00AF0DE2">
              <w:t xml:space="preserve"> </w:t>
            </w:r>
          </w:p>
        </w:tc>
      </w:tr>
      <w:tr w:rsidR="00AF0DE2" w:rsidTr="00CC6D6E">
        <w:tc>
          <w:tcPr>
            <w:tcW w:w="1589" w:type="dxa"/>
            <w:gridSpan w:val="2"/>
          </w:tcPr>
          <w:p w:rsidR="00AF0DE2" w:rsidRPr="00715209" w:rsidRDefault="00AF0DE2" w:rsidP="00CE51DA">
            <w:pPr>
              <w:spacing w:before="120" w:after="120"/>
            </w:pPr>
            <w:r w:rsidRPr="00715209">
              <w:t>Enhance redundancy of power supply to run the clean and dirty water pumps.</w:t>
            </w:r>
          </w:p>
        </w:tc>
        <w:tc>
          <w:tcPr>
            <w:tcW w:w="8759" w:type="dxa"/>
          </w:tcPr>
          <w:p w:rsidR="00AF0DE2" w:rsidRPr="0031309E" w:rsidRDefault="00AF0DE2" w:rsidP="0031309E">
            <w:pPr>
              <w:pStyle w:val="ListParagraph"/>
              <w:numPr>
                <w:ilvl w:val="0"/>
                <w:numId w:val="3"/>
              </w:numPr>
              <w:spacing w:before="120" w:after="120" w:line="259" w:lineRule="auto"/>
              <w:rPr>
                <w:color w:val="FF0000"/>
              </w:rPr>
            </w:pPr>
            <w:r w:rsidRPr="00E4703A">
              <w:t xml:space="preserve">SP Ausnet to </w:t>
            </w:r>
            <w:r w:rsidR="0031309E">
              <w:t xml:space="preserve">conduct a feasibility study (for its consideration) to </w:t>
            </w:r>
            <w:r w:rsidRPr="00E4703A">
              <w:t xml:space="preserve">upgrade </w:t>
            </w:r>
            <w:r>
              <w:t xml:space="preserve">the </w:t>
            </w:r>
            <w:r w:rsidRPr="00E4703A">
              <w:t xml:space="preserve">MHO substation from ‘temporary’ to ‘permanent’ standard  This has the benefit of providing an alternate power source via an underground cable </w:t>
            </w:r>
            <w:r w:rsidR="0031309E">
              <w:t>from the 22kv system.</w:t>
            </w:r>
            <w:r w:rsidR="004A6568">
              <w:t xml:space="preserve"> </w:t>
            </w:r>
            <w:r w:rsidRPr="0031309E">
              <w:rPr>
                <w:color w:val="FF0000"/>
              </w:rPr>
              <w:t>Hazelwood  to provide switching capability for MHO/MWW.</w:t>
            </w:r>
          </w:p>
          <w:p w:rsidR="00DB3F41" w:rsidRDefault="00AF0DE2" w:rsidP="0031309E">
            <w:pPr>
              <w:pStyle w:val="ListParagraph"/>
              <w:numPr>
                <w:ilvl w:val="0"/>
                <w:numId w:val="3"/>
              </w:numPr>
              <w:spacing w:before="120" w:after="120" w:line="259" w:lineRule="auto"/>
              <w:rPr>
                <w:color w:val="FF0000"/>
              </w:rPr>
            </w:pPr>
            <w:r>
              <w:rPr>
                <w:color w:val="FF0000"/>
              </w:rPr>
              <w:t xml:space="preserve">Hazelwood to make permanent the temporary connection that was established between MWE (supplied at 11kV) and clean/dirty water pumps. </w:t>
            </w:r>
          </w:p>
          <w:p w:rsidR="00AF0DE2" w:rsidRPr="00E14373" w:rsidRDefault="00AF0DE2" w:rsidP="00DB3F41">
            <w:pPr>
              <w:pStyle w:val="ListParagraph"/>
              <w:numPr>
                <w:ilvl w:val="0"/>
                <w:numId w:val="3"/>
              </w:numPr>
              <w:spacing w:before="120" w:after="120" w:line="259" w:lineRule="auto"/>
              <w:rPr>
                <w:color w:val="FF0000"/>
              </w:rPr>
            </w:pPr>
            <w:r>
              <w:rPr>
                <w:color w:val="FF0000"/>
              </w:rPr>
              <w:t xml:space="preserve">This </w:t>
            </w:r>
            <w:r w:rsidR="00DB3F41">
              <w:rPr>
                <w:color w:val="FF0000"/>
              </w:rPr>
              <w:t xml:space="preserve">provides power sources </w:t>
            </w:r>
            <w:r>
              <w:rPr>
                <w:color w:val="FF0000"/>
              </w:rPr>
              <w:t>from the 66kV</w:t>
            </w:r>
            <w:r w:rsidR="00DB3F41">
              <w:rPr>
                <w:color w:val="FF0000"/>
              </w:rPr>
              <w:t>,</w:t>
            </w:r>
            <w:r>
              <w:rPr>
                <w:color w:val="FF0000"/>
              </w:rPr>
              <w:t xml:space="preserve"> </w:t>
            </w:r>
            <w:r w:rsidR="00DB3F41">
              <w:rPr>
                <w:color w:val="FF0000"/>
              </w:rPr>
              <w:t>22kV</w:t>
            </w:r>
            <w:r>
              <w:rPr>
                <w:color w:val="FF0000"/>
              </w:rPr>
              <w:t xml:space="preserve"> </w:t>
            </w:r>
            <w:r w:rsidR="00DB3F41">
              <w:rPr>
                <w:color w:val="FF0000"/>
              </w:rPr>
              <w:t xml:space="preserve">and 11 kV </w:t>
            </w:r>
            <w:r>
              <w:rPr>
                <w:color w:val="FF0000"/>
              </w:rPr>
              <w:t>systems.</w:t>
            </w:r>
          </w:p>
        </w:tc>
        <w:tc>
          <w:tcPr>
            <w:tcW w:w="2268" w:type="dxa"/>
          </w:tcPr>
          <w:p w:rsidR="00AF0DE2" w:rsidRDefault="00AF0DE2" w:rsidP="00CE51DA">
            <w:pPr>
              <w:pStyle w:val="ListParagraph"/>
              <w:numPr>
                <w:ilvl w:val="0"/>
                <w:numId w:val="3"/>
              </w:numPr>
              <w:spacing w:before="120" w:after="120"/>
            </w:pPr>
            <w:r>
              <w:t xml:space="preserve">MHO upgrade: cost unknown. </w:t>
            </w:r>
          </w:p>
          <w:p w:rsidR="00AF0DE2" w:rsidRDefault="00AF0DE2" w:rsidP="00CE51DA">
            <w:pPr>
              <w:pStyle w:val="ListParagraph"/>
              <w:numPr>
                <w:ilvl w:val="0"/>
                <w:numId w:val="3"/>
              </w:numPr>
              <w:spacing w:before="120" w:after="120"/>
              <w:rPr>
                <w:color w:val="FF0000"/>
              </w:rPr>
            </w:pPr>
            <w:r>
              <w:rPr>
                <w:color w:val="FF0000"/>
              </w:rPr>
              <w:t>Additional switching capability: $50k.</w:t>
            </w:r>
          </w:p>
          <w:p w:rsidR="00AF0DE2" w:rsidRPr="00E14373" w:rsidRDefault="00AF0DE2" w:rsidP="00CE51DA">
            <w:pPr>
              <w:pStyle w:val="ListParagraph"/>
              <w:numPr>
                <w:ilvl w:val="0"/>
                <w:numId w:val="3"/>
              </w:numPr>
              <w:spacing w:before="120" w:after="120"/>
              <w:rPr>
                <w:color w:val="FF0000"/>
              </w:rPr>
            </w:pPr>
            <w:r>
              <w:rPr>
                <w:color w:val="FF0000"/>
              </w:rPr>
              <w:t xml:space="preserve">MWE-clean/dirty water </w:t>
            </w:r>
            <w:r w:rsidR="006F16F6">
              <w:rPr>
                <w:color w:val="FF0000"/>
              </w:rPr>
              <w:t xml:space="preserve">pump </w:t>
            </w:r>
            <w:r>
              <w:rPr>
                <w:color w:val="FF0000"/>
              </w:rPr>
              <w:t>11 kV connection: around $750k.</w:t>
            </w:r>
          </w:p>
        </w:tc>
        <w:tc>
          <w:tcPr>
            <w:tcW w:w="2410" w:type="dxa"/>
          </w:tcPr>
          <w:p w:rsidR="00AF0DE2" w:rsidRPr="00DD2E4C" w:rsidRDefault="00AF0DE2" w:rsidP="00CE51DA">
            <w:pPr>
              <w:pStyle w:val="ListParagraph"/>
              <w:numPr>
                <w:ilvl w:val="0"/>
                <w:numId w:val="3"/>
              </w:numPr>
              <w:spacing w:before="120" w:after="120"/>
              <w:rPr>
                <w:color w:val="FF0000"/>
              </w:rPr>
            </w:pPr>
            <w:r>
              <w:t>MHO upgrade: time frame unknown.</w:t>
            </w:r>
          </w:p>
          <w:p w:rsidR="00AF0DE2" w:rsidRDefault="00AF0DE2" w:rsidP="00CE51DA">
            <w:pPr>
              <w:pStyle w:val="ListParagraph"/>
              <w:numPr>
                <w:ilvl w:val="0"/>
                <w:numId w:val="3"/>
              </w:numPr>
              <w:spacing w:before="120" w:after="120"/>
              <w:rPr>
                <w:color w:val="FF0000"/>
              </w:rPr>
            </w:pPr>
            <w:r>
              <w:rPr>
                <w:color w:val="FF0000"/>
              </w:rPr>
              <w:t xml:space="preserve">Additional switching capability time frame:  Around 6 months </w:t>
            </w:r>
          </w:p>
          <w:p w:rsidR="00AF0DE2" w:rsidRPr="00DD2E4C" w:rsidRDefault="00AF0DE2" w:rsidP="00CE51DA">
            <w:pPr>
              <w:pStyle w:val="ListParagraph"/>
              <w:numPr>
                <w:ilvl w:val="0"/>
                <w:numId w:val="3"/>
              </w:numPr>
              <w:spacing w:before="120" w:after="120"/>
              <w:rPr>
                <w:color w:val="FF0000"/>
              </w:rPr>
            </w:pPr>
            <w:r>
              <w:rPr>
                <w:color w:val="FF0000"/>
              </w:rPr>
              <w:t>MWE-clean/dirty water 11 kV connection: possibly 6 months.</w:t>
            </w:r>
          </w:p>
        </w:tc>
      </w:tr>
      <w:tr w:rsidR="006A3F01" w:rsidRPr="006A3F01" w:rsidTr="00C234DF">
        <w:tc>
          <w:tcPr>
            <w:tcW w:w="15026" w:type="dxa"/>
            <w:gridSpan w:val="5"/>
          </w:tcPr>
          <w:p w:rsidR="006A3F01" w:rsidRPr="006A3F01" w:rsidRDefault="006A3F01" w:rsidP="003E6BDA">
            <w:pPr>
              <w:spacing w:before="120" w:after="120"/>
              <w:rPr>
                <w:b/>
              </w:rPr>
            </w:pPr>
            <w:r w:rsidRPr="006A3F01">
              <w:rPr>
                <w:b/>
              </w:rPr>
              <w:t xml:space="preserve">Fire risk mitigation </w:t>
            </w:r>
          </w:p>
        </w:tc>
      </w:tr>
      <w:tr w:rsidR="006A3F01" w:rsidTr="006F18A9">
        <w:tc>
          <w:tcPr>
            <w:tcW w:w="1560" w:type="dxa"/>
          </w:tcPr>
          <w:p w:rsidR="006A3F01" w:rsidRPr="004C6819" w:rsidRDefault="006A3F01" w:rsidP="006F18A9">
            <w:pPr>
              <w:spacing w:before="120" w:after="120"/>
            </w:pPr>
            <w:r>
              <w:t xml:space="preserve">Vegetation </w:t>
            </w:r>
          </w:p>
        </w:tc>
        <w:tc>
          <w:tcPr>
            <w:tcW w:w="8788" w:type="dxa"/>
            <w:gridSpan w:val="2"/>
          </w:tcPr>
          <w:p w:rsidR="006A3F01" w:rsidRPr="002B6514" w:rsidRDefault="006A3F01" w:rsidP="0031309E">
            <w:pPr>
              <w:spacing w:before="120" w:after="120" w:line="259" w:lineRule="auto"/>
              <w:rPr>
                <w:color w:val="FF0000"/>
              </w:rPr>
            </w:pPr>
            <w:r>
              <w:rPr>
                <w:color w:val="FF0000"/>
              </w:rPr>
              <w:t>Hazelwood will initiate</w:t>
            </w:r>
            <w:r w:rsidRPr="002B6514">
              <w:rPr>
                <w:color w:val="FF0000"/>
              </w:rPr>
              <w:t xml:space="preserve"> a programme for reducing vegetation in the worked out </w:t>
            </w:r>
            <w:r w:rsidR="0031309E">
              <w:rPr>
                <w:color w:val="FF0000"/>
              </w:rPr>
              <w:t>areas</w:t>
            </w:r>
            <w:r w:rsidR="004A6568">
              <w:rPr>
                <w:color w:val="FF0000"/>
              </w:rPr>
              <w:t xml:space="preserve"> </w:t>
            </w:r>
            <w:r w:rsidR="0031309E">
              <w:rPr>
                <w:color w:val="FF0000"/>
              </w:rPr>
              <w:t xml:space="preserve">of the northern </w:t>
            </w:r>
            <w:r w:rsidRPr="002B6514">
              <w:rPr>
                <w:color w:val="FF0000"/>
              </w:rPr>
              <w:t xml:space="preserve">batters </w:t>
            </w:r>
            <w:r>
              <w:rPr>
                <w:color w:val="FF0000"/>
              </w:rPr>
              <w:t xml:space="preserve"> to reduce fire risk </w:t>
            </w:r>
            <w:r w:rsidRPr="002B6514">
              <w:rPr>
                <w:color w:val="FF0000"/>
              </w:rPr>
              <w:t>(</w:t>
            </w:r>
            <w:r>
              <w:rPr>
                <w:color w:val="FF0000"/>
              </w:rPr>
              <w:t>inso</w:t>
            </w:r>
            <w:r w:rsidRPr="002B6514">
              <w:rPr>
                <w:color w:val="FF0000"/>
              </w:rPr>
              <w:t xml:space="preserve">far as is consistent </w:t>
            </w:r>
            <w:r>
              <w:rPr>
                <w:color w:val="FF0000"/>
              </w:rPr>
              <w:t xml:space="preserve">with OH&amp;S requirements and </w:t>
            </w:r>
            <w:r w:rsidRPr="002B6514">
              <w:rPr>
                <w:color w:val="FF0000"/>
              </w:rPr>
              <w:t>the stability properties of the vegetation) commencing  in the areas closest to Morwell</w:t>
            </w:r>
            <w:r>
              <w:rPr>
                <w:color w:val="FF0000"/>
              </w:rPr>
              <w:t>.</w:t>
            </w:r>
          </w:p>
        </w:tc>
        <w:tc>
          <w:tcPr>
            <w:tcW w:w="2268" w:type="dxa"/>
          </w:tcPr>
          <w:p w:rsidR="006A3F01" w:rsidRDefault="006A3F01" w:rsidP="006F18A9">
            <w:pPr>
              <w:spacing w:before="120" w:after="120"/>
              <w:rPr>
                <w:color w:val="FF0000"/>
              </w:rPr>
            </w:pPr>
            <w:r>
              <w:rPr>
                <w:color w:val="FF0000"/>
              </w:rPr>
              <w:t>Cost unknown.</w:t>
            </w:r>
          </w:p>
        </w:tc>
        <w:tc>
          <w:tcPr>
            <w:tcW w:w="2410" w:type="dxa"/>
          </w:tcPr>
          <w:p w:rsidR="006A3F01" w:rsidRPr="004C6819" w:rsidRDefault="006A3F01" w:rsidP="00B51451">
            <w:pPr>
              <w:spacing w:before="120" w:after="120"/>
              <w:rPr>
                <w:color w:val="FF0000"/>
              </w:rPr>
            </w:pPr>
            <w:r>
              <w:rPr>
                <w:color w:val="FF0000"/>
              </w:rPr>
              <w:t>Clear north eastern batters b</w:t>
            </w:r>
            <w:r w:rsidRPr="004C6819">
              <w:rPr>
                <w:color w:val="FF0000"/>
              </w:rPr>
              <w:t>efore November 2014</w:t>
            </w:r>
            <w:r>
              <w:rPr>
                <w:color w:val="FF0000"/>
              </w:rPr>
              <w:t xml:space="preserve"> and have an ongoing program for the </w:t>
            </w:r>
            <w:r w:rsidR="00B51451">
              <w:rPr>
                <w:color w:val="FF0000"/>
              </w:rPr>
              <w:t xml:space="preserve">appropriate management of vegetation in the </w:t>
            </w:r>
            <w:r>
              <w:rPr>
                <w:color w:val="FF0000"/>
              </w:rPr>
              <w:t xml:space="preserve">rest of the northern batters. </w:t>
            </w:r>
          </w:p>
        </w:tc>
      </w:tr>
      <w:tr w:rsidR="006A3F01" w:rsidTr="00CC6D6E">
        <w:tc>
          <w:tcPr>
            <w:tcW w:w="1560" w:type="dxa"/>
          </w:tcPr>
          <w:p w:rsidR="006A3F01" w:rsidRPr="004C6819" w:rsidRDefault="006A3F01" w:rsidP="00C5305F">
            <w:pPr>
              <w:spacing w:before="120" w:after="120"/>
            </w:pPr>
            <w:r w:rsidRPr="004C6819">
              <w:t>Pipework</w:t>
            </w:r>
          </w:p>
        </w:tc>
        <w:tc>
          <w:tcPr>
            <w:tcW w:w="8788" w:type="dxa"/>
            <w:gridSpan w:val="2"/>
          </w:tcPr>
          <w:p w:rsidR="006A3F01" w:rsidRDefault="006A3F01" w:rsidP="00C5305F">
            <w:pPr>
              <w:pStyle w:val="ListParagraph"/>
              <w:numPr>
                <w:ilvl w:val="0"/>
                <w:numId w:val="8"/>
              </w:numPr>
              <w:spacing w:before="120" w:after="120" w:line="259" w:lineRule="auto"/>
              <w:rPr>
                <w:color w:val="FF0000"/>
              </w:rPr>
            </w:pPr>
            <w:r>
              <w:rPr>
                <w:color w:val="FF0000"/>
              </w:rPr>
              <w:t>Hazelwood</w:t>
            </w:r>
            <w:r w:rsidRPr="007B2A3D">
              <w:rPr>
                <w:color w:val="FF0000"/>
              </w:rPr>
              <w:t xml:space="preserve"> will maintain and continue to use the additional pipe system located in the northern batters which was installed during the 2014 fires.</w:t>
            </w:r>
            <w:r>
              <w:rPr>
                <w:color w:val="FF0000"/>
              </w:rPr>
              <w:t xml:space="preserve"> </w:t>
            </w:r>
          </w:p>
          <w:p w:rsidR="00535001" w:rsidRDefault="006A3F01" w:rsidP="00C5305F">
            <w:pPr>
              <w:pStyle w:val="ListParagraph"/>
              <w:numPr>
                <w:ilvl w:val="0"/>
                <w:numId w:val="8"/>
              </w:numPr>
              <w:spacing w:before="120" w:after="120" w:line="259" w:lineRule="auto"/>
              <w:rPr>
                <w:color w:val="FF0000"/>
              </w:rPr>
            </w:pPr>
            <w:r>
              <w:rPr>
                <w:color w:val="FF0000"/>
              </w:rPr>
              <w:t xml:space="preserve">Hazelwood will install additional pipework and hydrants in </w:t>
            </w:r>
            <w:r w:rsidR="00535001">
              <w:rPr>
                <w:color w:val="FF0000"/>
              </w:rPr>
              <w:t>the</w:t>
            </w:r>
            <w:r>
              <w:rPr>
                <w:color w:val="FF0000"/>
              </w:rPr>
              <w:t xml:space="preserve"> areas </w:t>
            </w:r>
            <w:r w:rsidR="00535001">
              <w:rPr>
                <w:color w:val="FF0000"/>
              </w:rPr>
              <w:t xml:space="preserve">marked </w:t>
            </w:r>
            <w:r>
              <w:rPr>
                <w:color w:val="FF0000"/>
              </w:rPr>
              <w:t xml:space="preserve">on the northern batters shown in </w:t>
            </w:r>
            <w:r w:rsidR="00535001">
              <w:rPr>
                <w:color w:val="FF0000"/>
              </w:rPr>
              <w:t xml:space="preserve">the broken aqua coloured line in </w:t>
            </w:r>
            <w:r>
              <w:rPr>
                <w:color w:val="FF0000"/>
              </w:rPr>
              <w:t>the attached plan (the “eastern section of the northern batters”)</w:t>
            </w:r>
            <w:r w:rsidR="00535001">
              <w:rPr>
                <w:color w:val="FF0000"/>
              </w:rPr>
              <w:t>.</w:t>
            </w:r>
            <w:r>
              <w:rPr>
                <w:color w:val="FF0000"/>
              </w:rPr>
              <w:t xml:space="preserve"> </w:t>
            </w:r>
          </w:p>
          <w:p w:rsidR="006A3F01" w:rsidRDefault="00535001" w:rsidP="00C5305F">
            <w:pPr>
              <w:pStyle w:val="ListParagraph"/>
              <w:numPr>
                <w:ilvl w:val="0"/>
                <w:numId w:val="8"/>
              </w:numPr>
              <w:spacing w:before="120" w:after="120" w:line="259" w:lineRule="auto"/>
              <w:rPr>
                <w:color w:val="FF0000"/>
              </w:rPr>
            </w:pPr>
            <w:r>
              <w:rPr>
                <w:color w:val="FF0000"/>
              </w:rPr>
              <w:t>This will have the effect that the area shown is</w:t>
            </w:r>
            <w:r w:rsidR="006A3F01">
              <w:rPr>
                <w:color w:val="FF0000"/>
              </w:rPr>
              <w:t xml:space="preserve"> </w:t>
            </w:r>
            <w:r>
              <w:rPr>
                <w:color w:val="FF0000"/>
              </w:rPr>
              <w:t>c</w:t>
            </w:r>
            <w:r>
              <w:rPr>
                <w:color w:val="FF0000"/>
              </w:rPr>
              <w:t>overed by</w:t>
            </w:r>
            <w:r w:rsidR="006A3F01">
              <w:rPr>
                <w:color w:val="FF0000"/>
              </w:rPr>
              <w:t>:</w:t>
            </w:r>
          </w:p>
          <w:p w:rsidR="00535001" w:rsidRDefault="00535001" w:rsidP="00C5305F">
            <w:pPr>
              <w:pStyle w:val="ListParagraph"/>
              <w:numPr>
                <w:ilvl w:val="1"/>
                <w:numId w:val="8"/>
              </w:numPr>
              <w:spacing w:before="120" w:after="120" w:line="259" w:lineRule="auto"/>
              <w:rPr>
                <w:color w:val="FF0000"/>
              </w:rPr>
            </w:pPr>
            <w:r>
              <w:rPr>
                <w:color w:val="FF0000"/>
              </w:rPr>
              <w:t>Rehabilitation that has occurred prior to 2014;</w:t>
            </w:r>
          </w:p>
          <w:p w:rsidR="006A3F01" w:rsidRDefault="00535001" w:rsidP="00C5305F">
            <w:pPr>
              <w:pStyle w:val="ListParagraph"/>
              <w:numPr>
                <w:ilvl w:val="1"/>
                <w:numId w:val="8"/>
              </w:numPr>
              <w:spacing w:before="120" w:after="120" w:line="259" w:lineRule="auto"/>
              <w:rPr>
                <w:color w:val="FF0000"/>
              </w:rPr>
            </w:pPr>
            <w:r>
              <w:rPr>
                <w:color w:val="FF0000"/>
              </w:rPr>
              <w:t>R</w:t>
            </w:r>
            <w:r w:rsidR="006A3F01">
              <w:rPr>
                <w:color w:val="FF0000"/>
              </w:rPr>
              <w:t>ehab</w:t>
            </w:r>
            <w:r>
              <w:rPr>
                <w:color w:val="FF0000"/>
              </w:rPr>
              <w:t>ilitation</w:t>
            </w:r>
            <w:r w:rsidR="006A3F01">
              <w:rPr>
                <w:color w:val="FF0000"/>
              </w:rPr>
              <w:t xml:space="preserve"> proposed to be undertaken during 2014; </w:t>
            </w:r>
          </w:p>
          <w:p w:rsidR="00535001" w:rsidRDefault="00535001" w:rsidP="00C5305F">
            <w:pPr>
              <w:pStyle w:val="ListParagraph"/>
              <w:numPr>
                <w:ilvl w:val="1"/>
                <w:numId w:val="8"/>
              </w:numPr>
              <w:spacing w:before="120" w:after="120" w:line="259" w:lineRule="auto"/>
              <w:rPr>
                <w:color w:val="FF0000"/>
              </w:rPr>
            </w:pPr>
            <w:r>
              <w:rPr>
                <w:color w:val="FF0000"/>
              </w:rPr>
              <w:t>Undisturbed land (i.e. grassed areas that don’t contain exposed coal);</w:t>
            </w:r>
          </w:p>
          <w:p w:rsidR="00535001" w:rsidRDefault="00535001" w:rsidP="00C5305F">
            <w:pPr>
              <w:pStyle w:val="ListParagraph"/>
              <w:numPr>
                <w:ilvl w:val="1"/>
                <w:numId w:val="8"/>
              </w:numPr>
              <w:spacing w:before="120" w:after="120" w:line="259" w:lineRule="auto"/>
              <w:rPr>
                <w:color w:val="FF0000"/>
              </w:rPr>
            </w:pPr>
            <w:r>
              <w:rPr>
                <w:color w:val="FF0000"/>
              </w:rPr>
              <w:t>S</w:t>
            </w:r>
            <w:r w:rsidR="006A3F01">
              <w:rPr>
                <w:color w:val="FF0000"/>
              </w:rPr>
              <w:t>prinklers which are currently installed on the northern batters</w:t>
            </w:r>
            <w:r>
              <w:rPr>
                <w:color w:val="FF0000"/>
              </w:rPr>
              <w:t>; or</w:t>
            </w:r>
          </w:p>
          <w:p w:rsidR="006A3F01" w:rsidRDefault="00535001" w:rsidP="00C5305F">
            <w:pPr>
              <w:pStyle w:val="ListParagraph"/>
              <w:numPr>
                <w:ilvl w:val="1"/>
                <w:numId w:val="8"/>
              </w:numPr>
              <w:spacing w:before="120" w:after="120" w:line="259" w:lineRule="auto"/>
              <w:rPr>
                <w:color w:val="FF0000"/>
              </w:rPr>
            </w:pPr>
            <w:r>
              <w:rPr>
                <w:color w:val="FF0000"/>
              </w:rPr>
              <w:t xml:space="preserve">Additional sprinklers to be installed </w:t>
            </w:r>
            <w:r>
              <w:rPr>
                <w:color w:val="FF0000"/>
              </w:rPr>
              <w:t>on the northern batters</w:t>
            </w:r>
            <w:r>
              <w:rPr>
                <w:color w:val="FF0000"/>
              </w:rPr>
              <w:t>.</w:t>
            </w:r>
            <w:r w:rsidR="006A3F01">
              <w:rPr>
                <w:color w:val="FF0000"/>
              </w:rPr>
              <w:t xml:space="preserve"> </w:t>
            </w:r>
          </w:p>
          <w:p w:rsidR="006A3F01" w:rsidRDefault="006A3F01" w:rsidP="00C5305F">
            <w:pPr>
              <w:pStyle w:val="ListParagraph"/>
              <w:numPr>
                <w:ilvl w:val="0"/>
                <w:numId w:val="8"/>
              </w:numPr>
              <w:spacing w:before="120" w:after="120" w:line="259" w:lineRule="auto"/>
              <w:rPr>
                <w:color w:val="FF0000"/>
              </w:rPr>
            </w:pPr>
            <w:r>
              <w:rPr>
                <w:color w:val="FF0000"/>
              </w:rPr>
              <w:t>Conduct</w:t>
            </w:r>
            <w:r w:rsidRPr="00B32DF5">
              <w:rPr>
                <w:color w:val="FF0000"/>
              </w:rPr>
              <w:t xml:space="preserve"> a review </w:t>
            </w:r>
            <w:r>
              <w:rPr>
                <w:color w:val="FF0000"/>
              </w:rPr>
              <w:t xml:space="preserve">(to be undertaken by external consultants working with Hazelwood personnel) </w:t>
            </w:r>
            <w:r w:rsidRPr="00B32DF5">
              <w:rPr>
                <w:color w:val="FF0000"/>
              </w:rPr>
              <w:t xml:space="preserve">of the current pipework and condition in the </w:t>
            </w:r>
            <w:r>
              <w:rPr>
                <w:color w:val="FF0000"/>
              </w:rPr>
              <w:t>areas of the Mine other than the eastern section of the northern batters</w:t>
            </w:r>
            <w:r w:rsidRPr="00B32DF5">
              <w:rPr>
                <w:color w:val="FF0000"/>
              </w:rPr>
              <w:t>.</w:t>
            </w:r>
          </w:p>
          <w:p w:rsidR="006A3F01" w:rsidRPr="00B073EE" w:rsidRDefault="006A3F01" w:rsidP="0010618A">
            <w:pPr>
              <w:pStyle w:val="ListParagraph"/>
              <w:numPr>
                <w:ilvl w:val="0"/>
                <w:numId w:val="8"/>
              </w:numPr>
              <w:spacing w:before="120" w:after="120" w:line="259" w:lineRule="auto"/>
              <w:rPr>
                <w:color w:val="FF0000"/>
              </w:rPr>
            </w:pPr>
            <w:r>
              <w:rPr>
                <w:color w:val="FF0000"/>
              </w:rPr>
              <w:t xml:space="preserve"> </w:t>
            </w:r>
            <w:r w:rsidR="0010618A">
              <w:rPr>
                <w:color w:val="FF0000"/>
              </w:rPr>
              <w:t>T</w:t>
            </w:r>
            <w:r>
              <w:rPr>
                <w:color w:val="FF0000"/>
              </w:rPr>
              <w:t xml:space="preserve">he outcome of the review </w:t>
            </w:r>
            <w:r w:rsidR="0010618A">
              <w:rPr>
                <w:color w:val="FF0000"/>
              </w:rPr>
              <w:t xml:space="preserve">would be made known to </w:t>
            </w:r>
            <w:r>
              <w:rPr>
                <w:color w:val="FF0000"/>
              </w:rPr>
              <w:t xml:space="preserve"> DSDBI/VWA </w:t>
            </w:r>
          </w:p>
        </w:tc>
        <w:tc>
          <w:tcPr>
            <w:tcW w:w="2268" w:type="dxa"/>
          </w:tcPr>
          <w:p w:rsidR="006A3F01" w:rsidRPr="004C6819" w:rsidRDefault="006A3F01" w:rsidP="00C5305F">
            <w:pPr>
              <w:spacing w:before="120" w:after="120"/>
              <w:rPr>
                <w:color w:val="FF0000"/>
              </w:rPr>
            </w:pPr>
            <w:r>
              <w:rPr>
                <w:color w:val="FF0000"/>
              </w:rPr>
              <w:t>Review cost unknown:  may be around $100k.</w:t>
            </w:r>
          </w:p>
        </w:tc>
        <w:tc>
          <w:tcPr>
            <w:tcW w:w="2410" w:type="dxa"/>
          </w:tcPr>
          <w:p w:rsidR="006A3F01" w:rsidRPr="00E14373" w:rsidRDefault="006A3F01" w:rsidP="00C5305F">
            <w:pPr>
              <w:spacing w:before="120" w:after="120"/>
              <w:rPr>
                <w:color w:val="FF0000"/>
              </w:rPr>
            </w:pPr>
            <w:r>
              <w:rPr>
                <w:color w:val="FF0000"/>
              </w:rPr>
              <w:t>Target:</w:t>
            </w:r>
            <w:r w:rsidRPr="004C6819">
              <w:rPr>
                <w:color w:val="FF0000"/>
              </w:rPr>
              <w:t xml:space="preserve"> </w:t>
            </w:r>
            <w:r>
              <w:rPr>
                <w:color w:val="FF0000"/>
              </w:rPr>
              <w:t xml:space="preserve">December </w:t>
            </w:r>
            <w:r w:rsidRPr="004C6819">
              <w:rPr>
                <w:color w:val="FF0000"/>
              </w:rPr>
              <w:t>2014</w:t>
            </w:r>
            <w:r>
              <w:rPr>
                <w:color w:val="FF0000"/>
              </w:rPr>
              <w:t xml:space="preserve"> (note subject to weather/ground conditions).</w:t>
            </w:r>
          </w:p>
        </w:tc>
      </w:tr>
      <w:tr w:rsidR="006A3F01" w:rsidTr="00CC6D6E">
        <w:tc>
          <w:tcPr>
            <w:tcW w:w="1560" w:type="dxa"/>
          </w:tcPr>
          <w:p w:rsidR="006A3F01" w:rsidRPr="00F702D1" w:rsidRDefault="006A3F01" w:rsidP="00B6318A">
            <w:pPr>
              <w:spacing w:before="120" w:after="120"/>
              <w:rPr>
                <w:color w:val="FF0000"/>
              </w:rPr>
            </w:pPr>
            <w:r w:rsidRPr="00F702D1">
              <w:rPr>
                <w:color w:val="FF0000"/>
              </w:rPr>
              <w:t>Wetting down non-operational areas</w:t>
            </w:r>
          </w:p>
        </w:tc>
        <w:tc>
          <w:tcPr>
            <w:tcW w:w="8788" w:type="dxa"/>
            <w:gridSpan w:val="2"/>
          </w:tcPr>
          <w:p w:rsidR="006A3F01" w:rsidRPr="00F702D1" w:rsidRDefault="006A3F01" w:rsidP="00B6318A">
            <w:pPr>
              <w:spacing w:before="120" w:after="120" w:line="259" w:lineRule="auto"/>
              <w:rPr>
                <w:color w:val="FF0000"/>
              </w:rPr>
            </w:pPr>
            <w:r w:rsidRPr="00F702D1">
              <w:rPr>
                <w:color w:val="FF0000"/>
              </w:rPr>
              <w:t xml:space="preserve">On Extreme Fire Danger Days Hazelwood will instigate wetting down of non-operational areas.  </w:t>
            </w:r>
          </w:p>
          <w:p w:rsidR="006A3F01" w:rsidRPr="00F702D1" w:rsidRDefault="006A3F01" w:rsidP="00B6318A">
            <w:pPr>
              <w:spacing w:before="120" w:after="120" w:line="259" w:lineRule="auto"/>
              <w:rPr>
                <w:color w:val="FF0000"/>
              </w:rPr>
            </w:pPr>
          </w:p>
        </w:tc>
        <w:tc>
          <w:tcPr>
            <w:tcW w:w="2268" w:type="dxa"/>
          </w:tcPr>
          <w:p w:rsidR="006A3F01" w:rsidRPr="00F702D1" w:rsidRDefault="006A3F01" w:rsidP="00B6318A">
            <w:pPr>
              <w:spacing w:before="120" w:after="120"/>
              <w:rPr>
                <w:color w:val="FF0000"/>
              </w:rPr>
            </w:pPr>
            <w:r w:rsidRPr="00F702D1">
              <w:rPr>
                <w:color w:val="FF0000"/>
              </w:rPr>
              <w:t>Additional water and personnel. Not anticipated to be significant.</w:t>
            </w:r>
          </w:p>
        </w:tc>
        <w:tc>
          <w:tcPr>
            <w:tcW w:w="2410" w:type="dxa"/>
          </w:tcPr>
          <w:p w:rsidR="006A3F01" w:rsidRPr="00F702D1" w:rsidRDefault="006A3F01" w:rsidP="00B6318A">
            <w:pPr>
              <w:spacing w:before="120" w:after="120"/>
              <w:rPr>
                <w:color w:val="FF0000"/>
              </w:rPr>
            </w:pPr>
            <w:r w:rsidRPr="00F702D1">
              <w:rPr>
                <w:color w:val="FF0000"/>
              </w:rPr>
              <w:t>Commence ASAP</w:t>
            </w:r>
          </w:p>
        </w:tc>
      </w:tr>
      <w:tr w:rsidR="00AF0DE2" w:rsidTr="006E398E">
        <w:tc>
          <w:tcPr>
            <w:tcW w:w="15026" w:type="dxa"/>
            <w:gridSpan w:val="5"/>
          </w:tcPr>
          <w:p w:rsidR="00AF0DE2" w:rsidRPr="00AF0DE2" w:rsidRDefault="00AF0DE2" w:rsidP="005B4CEA">
            <w:pPr>
              <w:spacing w:before="120" w:after="120"/>
              <w:rPr>
                <w:b/>
              </w:rPr>
            </w:pPr>
            <w:r w:rsidRPr="00AF0DE2">
              <w:rPr>
                <w:b/>
              </w:rPr>
              <w:t xml:space="preserve">Planning and communication in relation to fire </w:t>
            </w:r>
          </w:p>
        </w:tc>
      </w:tr>
      <w:tr w:rsidR="006A3F01" w:rsidTr="00042E22">
        <w:tc>
          <w:tcPr>
            <w:tcW w:w="1560" w:type="dxa"/>
          </w:tcPr>
          <w:p w:rsidR="006A3F01" w:rsidRPr="002B632A" w:rsidRDefault="006A3F01" w:rsidP="00042E22">
            <w:pPr>
              <w:spacing w:before="120" w:after="120"/>
            </w:pPr>
            <w:r>
              <w:t>Integrated Fire Management Planning</w:t>
            </w:r>
          </w:p>
        </w:tc>
        <w:tc>
          <w:tcPr>
            <w:tcW w:w="8788" w:type="dxa"/>
            <w:gridSpan w:val="2"/>
          </w:tcPr>
          <w:p w:rsidR="006A3F01" w:rsidRDefault="006A3F01" w:rsidP="00042E22">
            <w:pPr>
              <w:pStyle w:val="ListParagraph"/>
              <w:numPr>
                <w:ilvl w:val="0"/>
                <w:numId w:val="2"/>
              </w:numPr>
              <w:spacing w:before="120" w:after="120" w:line="259" w:lineRule="auto"/>
            </w:pPr>
            <w:r>
              <w:t xml:space="preserve">LCC prepares a Municipal Fire plan and engages in Integrated Fire Management Planning. </w:t>
            </w:r>
            <w:r>
              <w:rPr>
                <w:color w:val="FF0000"/>
              </w:rPr>
              <w:t>Hazelwood</w:t>
            </w:r>
            <w:r w:rsidRPr="007E7D55">
              <w:rPr>
                <w:color w:val="FF0000"/>
              </w:rPr>
              <w:t xml:space="preserve"> will </w:t>
            </w:r>
            <w:r>
              <w:rPr>
                <w:color w:val="FF0000"/>
              </w:rPr>
              <w:t xml:space="preserve">nominate </w:t>
            </w:r>
            <w:r w:rsidRPr="007E7D55">
              <w:rPr>
                <w:color w:val="FF0000"/>
              </w:rPr>
              <w:t>a representative from Hazelwood from its planning and emergency sections to attend the meetings of the Municipal Fire Prevention co</w:t>
            </w:r>
            <w:r>
              <w:rPr>
                <w:color w:val="FF0000"/>
              </w:rPr>
              <w:t>mmittee convened by L</w:t>
            </w:r>
            <w:r w:rsidRPr="007E7D55">
              <w:rPr>
                <w:color w:val="FF0000"/>
              </w:rPr>
              <w:t>CC.</w:t>
            </w:r>
          </w:p>
          <w:p w:rsidR="006A3F01" w:rsidRPr="002B632A" w:rsidRDefault="006A3F01" w:rsidP="00042E22">
            <w:pPr>
              <w:pStyle w:val="ListParagraph"/>
              <w:numPr>
                <w:ilvl w:val="0"/>
                <w:numId w:val="2"/>
              </w:numPr>
              <w:spacing w:before="120" w:after="120" w:line="259" w:lineRule="auto"/>
            </w:pPr>
            <w:r>
              <w:t>Integrated fire management planning will be enhanced if LCC also invites</w:t>
            </w:r>
            <w:r w:rsidR="00DB3F41">
              <w:t xml:space="preserve"> the CFA and</w:t>
            </w:r>
            <w:r>
              <w:t xml:space="preserve"> the owners and operators of other critical infrastructure in the Latrobe Valley to attend (including other mine owners, SP Ausnet and other industry affected by fire risk, including plantations and mills).   </w:t>
            </w:r>
          </w:p>
        </w:tc>
        <w:tc>
          <w:tcPr>
            <w:tcW w:w="2268" w:type="dxa"/>
          </w:tcPr>
          <w:p w:rsidR="006A3F01" w:rsidRPr="002B632A" w:rsidRDefault="006A3F01" w:rsidP="00042E22">
            <w:pPr>
              <w:spacing w:before="120" w:after="120"/>
            </w:pPr>
            <w:r>
              <w:t xml:space="preserve">Mainly personnel time (to be quantified). </w:t>
            </w:r>
          </w:p>
        </w:tc>
        <w:tc>
          <w:tcPr>
            <w:tcW w:w="2410" w:type="dxa"/>
          </w:tcPr>
          <w:p w:rsidR="00B51451" w:rsidRDefault="006A3F01" w:rsidP="00042E22">
            <w:pPr>
              <w:spacing w:before="120" w:after="120"/>
            </w:pPr>
            <w:r>
              <w:t>Commence ASAP</w:t>
            </w:r>
          </w:p>
          <w:p w:rsidR="00B51451" w:rsidRDefault="00B51451" w:rsidP="00B51451"/>
          <w:p w:rsidR="006A3F01" w:rsidRPr="00B51451" w:rsidRDefault="006A3F01" w:rsidP="00B51451"/>
        </w:tc>
      </w:tr>
      <w:tr w:rsidR="004F2D27" w:rsidTr="00CC6D6E">
        <w:tc>
          <w:tcPr>
            <w:tcW w:w="1560" w:type="dxa"/>
          </w:tcPr>
          <w:p w:rsidR="004F2D27" w:rsidRPr="00FC0E3B" w:rsidRDefault="004F2D27" w:rsidP="00E4703A">
            <w:pPr>
              <w:spacing w:before="120" w:after="120"/>
            </w:pPr>
            <w:r w:rsidRPr="00FC0E3B">
              <w:t>Communication between agencies during an emergency response</w:t>
            </w:r>
          </w:p>
          <w:p w:rsidR="004F2D27" w:rsidRDefault="004F2D27" w:rsidP="00E4703A">
            <w:pPr>
              <w:spacing w:before="120" w:after="120"/>
            </w:pPr>
          </w:p>
        </w:tc>
        <w:tc>
          <w:tcPr>
            <w:tcW w:w="8788" w:type="dxa"/>
            <w:gridSpan w:val="2"/>
          </w:tcPr>
          <w:p w:rsidR="004F2D27" w:rsidRDefault="004F2D27" w:rsidP="00E4703A">
            <w:pPr>
              <w:pStyle w:val="ListParagraph"/>
              <w:numPr>
                <w:ilvl w:val="0"/>
                <w:numId w:val="2"/>
              </w:numPr>
              <w:spacing w:before="120" w:after="120" w:line="259" w:lineRule="auto"/>
            </w:pPr>
            <w:r>
              <w:t>On Extreme Fire Danger Days, the CFA should permit representatives of crucial infrastructure in the Valley to attend the ICC to be fully briefed on the fire threat and on any ongoing fires.</w:t>
            </w:r>
          </w:p>
          <w:p w:rsidR="004F2D27" w:rsidRPr="00FC0E3B" w:rsidRDefault="004F2D27" w:rsidP="00E5693D">
            <w:pPr>
              <w:pStyle w:val="ListParagraph"/>
              <w:numPr>
                <w:ilvl w:val="0"/>
                <w:numId w:val="2"/>
              </w:numPr>
              <w:spacing w:before="120" w:after="120" w:line="259" w:lineRule="auto"/>
            </w:pPr>
            <w:r>
              <w:rPr>
                <w:color w:val="FF0000"/>
              </w:rPr>
              <w:t>Hazelwood will nominate</w:t>
            </w:r>
            <w:r w:rsidRPr="007E7D55">
              <w:rPr>
                <w:color w:val="FF0000"/>
              </w:rPr>
              <w:t xml:space="preserve"> designated </w:t>
            </w:r>
            <w:r>
              <w:rPr>
                <w:color w:val="FF0000"/>
              </w:rPr>
              <w:t xml:space="preserve">people </w:t>
            </w:r>
            <w:r w:rsidRPr="007E7D55">
              <w:rPr>
                <w:color w:val="FF0000"/>
              </w:rPr>
              <w:t>from Hazelwood to be in attendance at the CFA ICC during an emergency which threatens the Mine</w:t>
            </w:r>
            <w:r>
              <w:rPr>
                <w:color w:val="FF0000"/>
              </w:rPr>
              <w:t>.</w:t>
            </w:r>
            <w:r w:rsidRPr="007E7D55">
              <w:rPr>
                <w:color w:val="FF0000"/>
              </w:rPr>
              <w:t xml:space="preserve"> </w:t>
            </w:r>
          </w:p>
        </w:tc>
        <w:tc>
          <w:tcPr>
            <w:tcW w:w="2268" w:type="dxa"/>
          </w:tcPr>
          <w:p w:rsidR="004F2D27" w:rsidRDefault="004F2D27" w:rsidP="00E4703A">
            <w:pPr>
              <w:spacing w:before="120" w:after="120"/>
            </w:pPr>
            <w:r>
              <w:t xml:space="preserve">Not anticipated to be significant. </w:t>
            </w:r>
          </w:p>
        </w:tc>
        <w:tc>
          <w:tcPr>
            <w:tcW w:w="2410" w:type="dxa"/>
          </w:tcPr>
          <w:p w:rsidR="004F2D27" w:rsidRDefault="004F2D27" w:rsidP="00E4703A">
            <w:pPr>
              <w:spacing w:before="120" w:after="120"/>
            </w:pPr>
            <w:r>
              <w:t>Commence ASAP</w:t>
            </w:r>
          </w:p>
        </w:tc>
      </w:tr>
      <w:tr w:rsidR="004F2D27" w:rsidTr="00CC6D6E">
        <w:tc>
          <w:tcPr>
            <w:tcW w:w="1560" w:type="dxa"/>
          </w:tcPr>
          <w:p w:rsidR="004F2D27" w:rsidRPr="00A27117" w:rsidRDefault="004F2D27" w:rsidP="00E4703A">
            <w:pPr>
              <w:spacing w:before="120" w:after="120"/>
            </w:pPr>
            <w:r w:rsidRPr="00A27117">
              <w:t xml:space="preserve">Community engagement </w:t>
            </w:r>
          </w:p>
          <w:p w:rsidR="004F2D27" w:rsidRPr="00FC0E3B" w:rsidRDefault="004F2D27" w:rsidP="00E4703A">
            <w:pPr>
              <w:spacing w:before="120" w:after="120"/>
            </w:pPr>
          </w:p>
        </w:tc>
        <w:tc>
          <w:tcPr>
            <w:tcW w:w="8788" w:type="dxa"/>
            <w:gridSpan w:val="2"/>
          </w:tcPr>
          <w:p w:rsidR="004F2D27" w:rsidRDefault="004F2D27" w:rsidP="00E4703A">
            <w:pPr>
              <w:pStyle w:val="ListParagraph"/>
              <w:numPr>
                <w:ilvl w:val="0"/>
                <w:numId w:val="2"/>
              </w:numPr>
              <w:spacing w:before="120" w:after="120" w:line="259" w:lineRule="auto"/>
            </w:pPr>
            <w:r>
              <w:t>The CFA should convene a review by the entities likely to be involved in responding to a fire, particularly a long running fire (e.g. including at least SP Ausnet, LCC, DSDBI, VWA, Vic Police, LV mine operators, CFA , DoH, EPA).</w:t>
            </w:r>
          </w:p>
          <w:p w:rsidR="004F2D27" w:rsidRDefault="004F2D27" w:rsidP="00E4703A">
            <w:pPr>
              <w:pStyle w:val="ListParagraph"/>
              <w:numPr>
                <w:ilvl w:val="0"/>
                <w:numId w:val="2"/>
              </w:numPr>
              <w:spacing w:before="120" w:after="120" w:line="259" w:lineRule="auto"/>
            </w:pPr>
            <w:r>
              <w:t xml:space="preserve">Participants in this review should jointly review their community communications protocol prior to the next fire season. During the review, the responsibility of each entity for each type of messaging should be clarified. </w:t>
            </w:r>
          </w:p>
          <w:p w:rsidR="004F2D27" w:rsidRPr="00A27117" w:rsidRDefault="004F2D27" w:rsidP="0010618A">
            <w:pPr>
              <w:pStyle w:val="ListParagraph"/>
              <w:numPr>
                <w:ilvl w:val="0"/>
                <w:numId w:val="2"/>
              </w:numPr>
              <w:spacing w:before="120" w:after="120" w:line="259" w:lineRule="auto"/>
              <w:rPr>
                <w:color w:val="FF0000"/>
              </w:rPr>
            </w:pPr>
            <w:r>
              <w:rPr>
                <w:color w:val="FF0000"/>
              </w:rPr>
              <w:t>Hazelwood</w:t>
            </w:r>
            <w:r w:rsidRPr="007E7D55">
              <w:rPr>
                <w:color w:val="FF0000"/>
              </w:rPr>
              <w:t xml:space="preserve"> will participate in such a review. </w:t>
            </w:r>
            <w:r>
              <w:rPr>
                <w:color w:val="FF0000"/>
              </w:rPr>
              <w:t>Hazelwood will also review its own communications</w:t>
            </w:r>
            <w:r w:rsidRPr="007E7D55">
              <w:rPr>
                <w:color w:val="FF0000"/>
              </w:rPr>
              <w:t xml:space="preserve"> protocol to ensure that during the response to fire which is capable of impacting on </w:t>
            </w:r>
            <w:r w:rsidR="0010618A">
              <w:rPr>
                <w:color w:val="FF0000"/>
              </w:rPr>
              <w:t>the community</w:t>
            </w:r>
            <w:r w:rsidRPr="007E7D55">
              <w:rPr>
                <w:color w:val="FF0000"/>
              </w:rPr>
              <w:t xml:space="preserve">, it is able to communicate messages to the community via any protocol adopted following the review by all agencies. </w:t>
            </w:r>
          </w:p>
        </w:tc>
        <w:tc>
          <w:tcPr>
            <w:tcW w:w="2268" w:type="dxa"/>
          </w:tcPr>
          <w:p w:rsidR="004F2D27" w:rsidRDefault="004F2D27" w:rsidP="00E4703A">
            <w:pPr>
              <w:spacing w:before="120" w:after="120"/>
            </w:pPr>
            <w:r>
              <w:t xml:space="preserve">Cost not anticipated to be significant. </w:t>
            </w:r>
          </w:p>
        </w:tc>
        <w:tc>
          <w:tcPr>
            <w:tcW w:w="2410" w:type="dxa"/>
          </w:tcPr>
          <w:p w:rsidR="004F2D27" w:rsidRDefault="004F2D27" w:rsidP="00E4703A">
            <w:pPr>
              <w:spacing w:before="120" w:after="120"/>
            </w:pPr>
            <w:r>
              <w:t>Commence ASAP</w:t>
            </w:r>
          </w:p>
        </w:tc>
      </w:tr>
      <w:tr w:rsidR="00AF0DE2" w:rsidTr="002D3318">
        <w:tc>
          <w:tcPr>
            <w:tcW w:w="15026" w:type="dxa"/>
            <w:gridSpan w:val="5"/>
          </w:tcPr>
          <w:p w:rsidR="00AF0DE2" w:rsidRPr="00AF0DE2" w:rsidRDefault="00AF0DE2" w:rsidP="00AF0DE2">
            <w:pPr>
              <w:spacing w:before="120" w:after="120"/>
              <w:rPr>
                <w:b/>
              </w:rPr>
            </w:pPr>
            <w:r w:rsidRPr="00AF0DE2">
              <w:rPr>
                <w:b/>
              </w:rPr>
              <w:t xml:space="preserve"> </w:t>
            </w:r>
            <w:r>
              <w:rPr>
                <w:b/>
              </w:rPr>
              <w:t xml:space="preserve">Occupational Health and Safety </w:t>
            </w:r>
            <w:r w:rsidRPr="00AF0DE2">
              <w:rPr>
                <w:b/>
              </w:rPr>
              <w:t xml:space="preserve"> </w:t>
            </w:r>
          </w:p>
        </w:tc>
      </w:tr>
      <w:tr w:rsidR="00AF0DE2" w:rsidTr="00CC6D6E">
        <w:tc>
          <w:tcPr>
            <w:tcW w:w="1560" w:type="dxa"/>
            <w:tcBorders>
              <w:bottom w:val="single" w:sz="4" w:space="0" w:color="auto"/>
            </w:tcBorders>
          </w:tcPr>
          <w:p w:rsidR="00AF0DE2" w:rsidRPr="00E74B71" w:rsidRDefault="00AF0DE2" w:rsidP="00732AE5">
            <w:pPr>
              <w:spacing w:before="120" w:after="120"/>
              <w:rPr>
                <w:b/>
                <w:bCs/>
                <w:sz w:val="28"/>
                <w:szCs w:val="28"/>
              </w:rPr>
            </w:pPr>
            <w:r>
              <w:t xml:space="preserve">Major Mining Hazard Safety Assessment under </w:t>
            </w:r>
            <w:bookmarkStart w:id="0" w:name="tpActTitle"/>
            <w:r>
              <w:rPr>
                <w:bCs/>
                <w:szCs w:val="28"/>
              </w:rPr>
              <w:t xml:space="preserve">OH &amp; S </w:t>
            </w:r>
            <w:r w:rsidRPr="00E74B71">
              <w:rPr>
                <w:bCs/>
                <w:szCs w:val="28"/>
              </w:rPr>
              <w:t xml:space="preserve">Regulations </w:t>
            </w:r>
            <w:bookmarkEnd w:id="0"/>
          </w:p>
        </w:tc>
        <w:tc>
          <w:tcPr>
            <w:tcW w:w="8788" w:type="dxa"/>
            <w:gridSpan w:val="2"/>
            <w:tcBorders>
              <w:bottom w:val="single" w:sz="4" w:space="0" w:color="auto"/>
            </w:tcBorders>
          </w:tcPr>
          <w:p w:rsidR="00AF0DE2" w:rsidRPr="00DB3F41" w:rsidRDefault="00AF0DE2" w:rsidP="00CC6D6E">
            <w:pPr>
              <w:pStyle w:val="ListParagraph"/>
              <w:numPr>
                <w:ilvl w:val="0"/>
                <w:numId w:val="2"/>
              </w:numPr>
              <w:spacing w:before="120" w:after="120" w:line="259" w:lineRule="auto"/>
            </w:pPr>
            <w:r w:rsidRPr="00DB3F41">
              <w:t>VWA should prepare guidance material in relation to the requirements for mine operators of Regulations 5.3.21 and 5.3.23.</w:t>
            </w:r>
          </w:p>
          <w:p w:rsidR="00AF0DE2" w:rsidRPr="00CC6D6E" w:rsidRDefault="00AF0DE2" w:rsidP="00CC6D6E">
            <w:pPr>
              <w:pStyle w:val="ListParagraph"/>
              <w:numPr>
                <w:ilvl w:val="0"/>
                <w:numId w:val="2"/>
              </w:numPr>
              <w:spacing w:before="120" w:after="120" w:line="259" w:lineRule="auto"/>
              <w:rPr>
                <w:color w:val="FF0000"/>
              </w:rPr>
            </w:pPr>
            <w:r w:rsidRPr="00CC6D6E">
              <w:rPr>
                <w:color w:val="FF0000"/>
              </w:rPr>
              <w:t>Hazelwood will work with VWA   to review its Safety Assessment and Safety Management System in light of Regulations 5.3.21 and 5.3.23</w:t>
            </w:r>
            <w:r w:rsidR="00DB3F41">
              <w:rPr>
                <w:color w:val="FF0000"/>
              </w:rPr>
              <w:t>.</w:t>
            </w:r>
          </w:p>
          <w:p w:rsidR="00AF0DE2" w:rsidRPr="00914D1B" w:rsidRDefault="00AF0DE2" w:rsidP="00732AE5">
            <w:pPr>
              <w:spacing w:before="120" w:after="120" w:line="259" w:lineRule="auto"/>
              <w:rPr>
                <w:color w:val="FF0000"/>
              </w:rPr>
            </w:pPr>
          </w:p>
        </w:tc>
        <w:tc>
          <w:tcPr>
            <w:tcW w:w="2268" w:type="dxa"/>
            <w:tcBorders>
              <w:bottom w:val="single" w:sz="4" w:space="0" w:color="auto"/>
            </w:tcBorders>
          </w:tcPr>
          <w:p w:rsidR="00AF0DE2" w:rsidRPr="00011407" w:rsidRDefault="00AF0DE2" w:rsidP="00732AE5">
            <w:pPr>
              <w:spacing w:before="120" w:after="120"/>
              <w:rPr>
                <w:color w:val="FF0000"/>
              </w:rPr>
            </w:pPr>
            <w:r>
              <w:rPr>
                <w:color w:val="FF0000"/>
              </w:rPr>
              <w:t>Not anticipated to be significant.</w:t>
            </w:r>
          </w:p>
        </w:tc>
        <w:tc>
          <w:tcPr>
            <w:tcW w:w="2410" w:type="dxa"/>
            <w:tcBorders>
              <w:bottom w:val="single" w:sz="4" w:space="0" w:color="auto"/>
            </w:tcBorders>
          </w:tcPr>
          <w:p w:rsidR="00AF0DE2" w:rsidRPr="00011407" w:rsidRDefault="00DB3F41" w:rsidP="00732AE5">
            <w:pPr>
              <w:spacing w:before="120" w:after="120"/>
              <w:rPr>
                <w:color w:val="FF0000"/>
              </w:rPr>
            </w:pPr>
            <w:r>
              <w:rPr>
                <w:color w:val="FF0000"/>
              </w:rPr>
              <w:t>ASAP</w:t>
            </w:r>
            <w:r w:rsidR="00AF0DE2">
              <w:rPr>
                <w:color w:val="FF0000"/>
              </w:rPr>
              <w:t>, in consultation with VWA.</w:t>
            </w:r>
          </w:p>
        </w:tc>
      </w:tr>
      <w:tr w:rsidR="00AF0DE2" w:rsidTr="00732504">
        <w:tc>
          <w:tcPr>
            <w:tcW w:w="1560" w:type="dxa"/>
          </w:tcPr>
          <w:p w:rsidR="00AF0DE2" w:rsidRDefault="00AF0DE2" w:rsidP="00732504">
            <w:pPr>
              <w:spacing w:before="120" w:after="120"/>
            </w:pPr>
            <w:r>
              <w:t>CO protocol</w:t>
            </w:r>
          </w:p>
        </w:tc>
        <w:tc>
          <w:tcPr>
            <w:tcW w:w="8788" w:type="dxa"/>
            <w:gridSpan w:val="2"/>
          </w:tcPr>
          <w:p w:rsidR="00AF0DE2" w:rsidRPr="00FC0E3B" w:rsidRDefault="00AF0DE2" w:rsidP="00732504">
            <w:pPr>
              <w:spacing w:before="120" w:after="120" w:line="259" w:lineRule="auto"/>
              <w:rPr>
                <w:color w:val="FF0000"/>
              </w:rPr>
            </w:pPr>
            <w:r w:rsidRPr="00293562">
              <w:t xml:space="preserve">CFA and </w:t>
            </w:r>
            <w:r>
              <w:rPr>
                <w:color w:val="FF0000"/>
              </w:rPr>
              <w:t>Hazelwood</w:t>
            </w:r>
            <w:r w:rsidRPr="00FC0E3B">
              <w:rPr>
                <w:color w:val="FF0000"/>
              </w:rPr>
              <w:t xml:space="preserve"> to develop a CO management protocol for fire fighter and mine employee safety prior to the next fire season, </w:t>
            </w:r>
            <w:r>
              <w:t>in consultation with VWA</w:t>
            </w:r>
            <w:r w:rsidRPr="00FC0E3B">
              <w:rPr>
                <w:color w:val="FF0000"/>
              </w:rPr>
              <w:t xml:space="preserve">. </w:t>
            </w:r>
          </w:p>
        </w:tc>
        <w:tc>
          <w:tcPr>
            <w:tcW w:w="2268" w:type="dxa"/>
          </w:tcPr>
          <w:p w:rsidR="00AF0DE2" w:rsidRDefault="00AF0DE2" w:rsidP="00732504">
            <w:pPr>
              <w:spacing w:before="120" w:after="120"/>
            </w:pPr>
            <w:r>
              <w:t>Cost not anticipated to be significant</w:t>
            </w:r>
          </w:p>
        </w:tc>
        <w:tc>
          <w:tcPr>
            <w:tcW w:w="2410" w:type="dxa"/>
          </w:tcPr>
          <w:p w:rsidR="00AF0DE2" w:rsidRDefault="00AF0DE2" w:rsidP="00732504">
            <w:pPr>
              <w:spacing w:before="120" w:after="120"/>
            </w:pPr>
            <w:r>
              <w:t>Commence ASAP</w:t>
            </w:r>
          </w:p>
        </w:tc>
      </w:tr>
      <w:tr w:rsidR="00AF0DE2" w:rsidRPr="00AF0DE2" w:rsidTr="001E7621">
        <w:tc>
          <w:tcPr>
            <w:tcW w:w="15026" w:type="dxa"/>
            <w:gridSpan w:val="5"/>
          </w:tcPr>
          <w:p w:rsidR="00AF0DE2" w:rsidRPr="00AF0DE2" w:rsidRDefault="00AF0DE2" w:rsidP="001E7621">
            <w:pPr>
              <w:spacing w:before="120" w:after="120"/>
              <w:rPr>
                <w:b/>
              </w:rPr>
            </w:pPr>
            <w:r w:rsidRPr="00AF0DE2">
              <w:rPr>
                <w:b/>
              </w:rPr>
              <w:t xml:space="preserve">Rehabilitation </w:t>
            </w:r>
          </w:p>
        </w:tc>
      </w:tr>
      <w:tr w:rsidR="00AF0DE2" w:rsidTr="00CC6D6E">
        <w:tc>
          <w:tcPr>
            <w:tcW w:w="1560" w:type="dxa"/>
          </w:tcPr>
          <w:p w:rsidR="00AF0DE2" w:rsidRDefault="00AF0DE2" w:rsidP="001E7621">
            <w:pPr>
              <w:spacing w:before="120" w:after="120"/>
            </w:pPr>
            <w:r>
              <w:t>Rehabilitation according to Work Plans</w:t>
            </w:r>
          </w:p>
        </w:tc>
        <w:tc>
          <w:tcPr>
            <w:tcW w:w="8788" w:type="dxa"/>
            <w:gridSpan w:val="2"/>
          </w:tcPr>
          <w:p w:rsidR="00AF0DE2" w:rsidRPr="00B073EE" w:rsidRDefault="00AF0DE2" w:rsidP="001E7621">
            <w:pPr>
              <w:pStyle w:val="ListParagraph"/>
              <w:numPr>
                <w:ilvl w:val="0"/>
                <w:numId w:val="7"/>
              </w:numPr>
              <w:spacing w:before="120" w:after="120" w:line="259" w:lineRule="auto"/>
              <w:rPr>
                <w:color w:val="FF0000"/>
              </w:rPr>
            </w:pPr>
            <w:r>
              <w:rPr>
                <w:color w:val="FF0000"/>
              </w:rPr>
              <w:t>Hazelwood</w:t>
            </w:r>
            <w:r w:rsidRPr="007B2A3D">
              <w:rPr>
                <w:color w:val="FF0000"/>
              </w:rPr>
              <w:t xml:space="preserve"> will undertake the rehabilitation set out in Annexure 5 to the Faithful statement. </w:t>
            </w:r>
          </w:p>
          <w:p w:rsidR="00AF0DE2" w:rsidRDefault="00AF0DE2" w:rsidP="001E7621">
            <w:pPr>
              <w:pStyle w:val="ListParagraph"/>
              <w:numPr>
                <w:ilvl w:val="0"/>
                <w:numId w:val="7"/>
              </w:numPr>
              <w:spacing w:before="120" w:after="120" w:line="259" w:lineRule="auto"/>
              <w:rPr>
                <w:color w:val="FF0000"/>
              </w:rPr>
            </w:pPr>
            <w:r w:rsidRPr="00B32DF5">
              <w:rPr>
                <w:color w:val="FF0000"/>
              </w:rPr>
              <w:t xml:space="preserve">Noting that there appears to be ambiguity in the current Work Plans about whether the dates specified are for rehabilitation to be </w:t>
            </w:r>
            <w:r w:rsidRPr="00B32DF5">
              <w:rPr>
                <w:color w:val="FF0000"/>
                <w:u w:val="single"/>
              </w:rPr>
              <w:t>commenced</w:t>
            </w:r>
            <w:r w:rsidRPr="00B32DF5">
              <w:rPr>
                <w:color w:val="FF0000"/>
              </w:rPr>
              <w:t xml:space="preserve"> or </w:t>
            </w:r>
            <w:r w:rsidRPr="00B32DF5">
              <w:rPr>
                <w:color w:val="FF0000"/>
                <w:u w:val="single"/>
              </w:rPr>
              <w:t>completed</w:t>
            </w:r>
            <w:r w:rsidRPr="00B32DF5">
              <w:rPr>
                <w:color w:val="FF0000"/>
              </w:rPr>
              <w:t xml:space="preserve"> by that date, as part of the ongoing discussions with DSDBI re the 2013 WPV, Hazelwood will discuss the appropriate timing of each sequence of rehabilitation works. </w:t>
            </w:r>
          </w:p>
          <w:p w:rsidR="00AF0DE2" w:rsidRPr="00C11EBE" w:rsidRDefault="00AF0DE2" w:rsidP="001E7621">
            <w:pPr>
              <w:pStyle w:val="ListParagraph"/>
              <w:numPr>
                <w:ilvl w:val="0"/>
                <w:numId w:val="7"/>
              </w:numPr>
              <w:spacing w:before="120" w:after="120" w:line="259" w:lineRule="auto"/>
            </w:pPr>
            <w:r w:rsidRPr="00C11EBE">
              <w:t xml:space="preserve">DSDBI should </w:t>
            </w:r>
            <w:r w:rsidR="00DB3F41" w:rsidRPr="00C11EBE">
              <w:t xml:space="preserve">clearly </w:t>
            </w:r>
            <w:r w:rsidRPr="00C11EBE">
              <w:t xml:space="preserve">specify </w:t>
            </w:r>
            <w:r w:rsidR="00DB3F41">
              <w:t xml:space="preserve">in </w:t>
            </w:r>
            <w:r w:rsidR="00DB3F41" w:rsidRPr="00C11EBE">
              <w:t>the 2013 W</w:t>
            </w:r>
            <w:r w:rsidR="00DB3F41">
              <w:t xml:space="preserve">ork </w:t>
            </w:r>
            <w:r w:rsidR="00DB3F41" w:rsidRPr="00C11EBE">
              <w:t>P</w:t>
            </w:r>
            <w:r w:rsidR="00DB3F41">
              <w:t xml:space="preserve">lan </w:t>
            </w:r>
            <w:r w:rsidR="00DB3F41" w:rsidRPr="00C11EBE">
              <w:t>V</w:t>
            </w:r>
            <w:r w:rsidR="00DB3F41">
              <w:t>ariation</w:t>
            </w:r>
            <w:r w:rsidR="00DB3F41" w:rsidRPr="00C11EBE">
              <w:t xml:space="preserve"> </w:t>
            </w:r>
            <w:r w:rsidRPr="00C11EBE">
              <w:t xml:space="preserve">the dates for commencement and completion of  progressive rehabilitation following an assessment, in consultation with Hazelwood, of: </w:t>
            </w:r>
          </w:p>
          <w:p w:rsidR="00AF0DE2" w:rsidRPr="00C11EBE" w:rsidRDefault="00AF0DE2" w:rsidP="001E7621">
            <w:pPr>
              <w:pStyle w:val="ListParagraph"/>
              <w:numPr>
                <w:ilvl w:val="0"/>
                <w:numId w:val="11"/>
              </w:numPr>
              <w:spacing w:before="120" w:after="120" w:line="259" w:lineRule="auto"/>
            </w:pPr>
            <w:r w:rsidRPr="00C11EBE">
              <w:t>the availability of suitable materials from within the Mine;</w:t>
            </w:r>
          </w:p>
          <w:p w:rsidR="00AF0DE2" w:rsidRDefault="00AF0DE2" w:rsidP="001E7621">
            <w:pPr>
              <w:pStyle w:val="ListParagraph"/>
              <w:numPr>
                <w:ilvl w:val="0"/>
                <w:numId w:val="11"/>
              </w:numPr>
              <w:spacing w:before="120" w:after="120" w:line="259" w:lineRule="auto"/>
            </w:pPr>
            <w:r w:rsidRPr="00C11EBE">
              <w:t>the progress</w:t>
            </w:r>
            <w:r w:rsidR="00DB3F41">
              <w:t>ion of mining in accordance with the Work Plan (as varied by agreement with DSDBI from time to time)</w:t>
            </w:r>
            <w:r w:rsidRPr="00C11EBE">
              <w:t>; and</w:t>
            </w:r>
          </w:p>
          <w:p w:rsidR="00AF0DE2" w:rsidRPr="00C11EBE" w:rsidRDefault="00AF0DE2" w:rsidP="001E7621">
            <w:pPr>
              <w:pStyle w:val="ListParagraph"/>
              <w:numPr>
                <w:ilvl w:val="0"/>
                <w:numId w:val="11"/>
              </w:numPr>
              <w:spacing w:before="120" w:after="120" w:line="259" w:lineRule="auto"/>
            </w:pPr>
            <w:r w:rsidRPr="00C11EBE">
              <w:t>geotechnical/stability constraints</w:t>
            </w:r>
            <w:r>
              <w:t>.</w:t>
            </w:r>
          </w:p>
        </w:tc>
        <w:tc>
          <w:tcPr>
            <w:tcW w:w="2268" w:type="dxa"/>
          </w:tcPr>
          <w:p w:rsidR="00AF0DE2" w:rsidRPr="00B32DF5" w:rsidRDefault="00AF0DE2" w:rsidP="001E7621">
            <w:pPr>
              <w:pStyle w:val="ListParagraph"/>
              <w:numPr>
                <w:ilvl w:val="0"/>
                <w:numId w:val="6"/>
              </w:numPr>
              <w:spacing w:before="120" w:after="120"/>
              <w:rPr>
                <w:color w:val="FF0000"/>
              </w:rPr>
            </w:pPr>
            <w:r w:rsidRPr="00B32DF5">
              <w:rPr>
                <w:color w:val="FF0000"/>
              </w:rPr>
              <w:t>Cost of rehab set out in Annexure 5: approximately $800k.</w:t>
            </w:r>
          </w:p>
          <w:p w:rsidR="00AF0DE2" w:rsidRPr="00B32DF5" w:rsidRDefault="00AF0DE2" w:rsidP="001E7621">
            <w:pPr>
              <w:pStyle w:val="ListParagraph"/>
              <w:numPr>
                <w:ilvl w:val="0"/>
                <w:numId w:val="6"/>
              </w:numPr>
              <w:spacing w:before="120" w:after="120"/>
              <w:rPr>
                <w:color w:val="FF0000"/>
              </w:rPr>
            </w:pPr>
            <w:r w:rsidRPr="00B32DF5">
              <w:rPr>
                <w:color w:val="FF0000"/>
              </w:rPr>
              <w:t>Cost of discussions: nil.</w:t>
            </w:r>
          </w:p>
          <w:p w:rsidR="00AF0DE2" w:rsidRPr="00715209" w:rsidRDefault="00AF0DE2" w:rsidP="001E7621">
            <w:pPr>
              <w:pStyle w:val="ListParagraph"/>
              <w:numPr>
                <w:ilvl w:val="0"/>
                <w:numId w:val="6"/>
              </w:numPr>
              <w:spacing w:before="120" w:after="120"/>
              <w:rPr>
                <w:color w:val="FF0000"/>
              </w:rPr>
            </w:pPr>
            <w:r w:rsidRPr="00B32DF5">
              <w:rPr>
                <w:color w:val="FF0000"/>
              </w:rPr>
              <w:t xml:space="preserve">Cost of varying rehabilitation works program: unknown. </w:t>
            </w:r>
          </w:p>
        </w:tc>
        <w:tc>
          <w:tcPr>
            <w:tcW w:w="2410" w:type="dxa"/>
          </w:tcPr>
          <w:p w:rsidR="00AF0DE2" w:rsidRDefault="00AF0DE2" w:rsidP="001E7621">
            <w:pPr>
              <w:pStyle w:val="ListParagraph"/>
              <w:numPr>
                <w:ilvl w:val="0"/>
                <w:numId w:val="6"/>
              </w:numPr>
              <w:spacing w:before="120" w:after="120"/>
              <w:rPr>
                <w:color w:val="FF0000"/>
              </w:rPr>
            </w:pPr>
            <w:r w:rsidRPr="00B32DF5">
              <w:rPr>
                <w:color w:val="FF0000"/>
              </w:rPr>
              <w:t>Undertake rehab set out in Annexure 5</w:t>
            </w:r>
            <w:r>
              <w:rPr>
                <w:color w:val="FF0000"/>
              </w:rPr>
              <w:t xml:space="preserve"> </w:t>
            </w:r>
            <w:r w:rsidRPr="00B32DF5">
              <w:rPr>
                <w:color w:val="FF0000"/>
              </w:rPr>
              <w:t xml:space="preserve">by </w:t>
            </w:r>
            <w:r>
              <w:rPr>
                <w:color w:val="FF0000"/>
              </w:rPr>
              <w:t>Dec</w:t>
            </w:r>
            <w:r w:rsidRPr="00B32DF5">
              <w:rPr>
                <w:color w:val="FF0000"/>
              </w:rPr>
              <w:t xml:space="preserve"> 2014</w:t>
            </w:r>
            <w:r>
              <w:rPr>
                <w:color w:val="FF0000"/>
              </w:rPr>
              <w:t>.</w:t>
            </w:r>
          </w:p>
          <w:p w:rsidR="00AF0DE2" w:rsidRPr="00B32DF5" w:rsidRDefault="00AF0DE2" w:rsidP="001E7621">
            <w:pPr>
              <w:pStyle w:val="ListParagraph"/>
              <w:numPr>
                <w:ilvl w:val="0"/>
                <w:numId w:val="6"/>
              </w:numPr>
              <w:spacing w:before="120" w:after="120"/>
              <w:rPr>
                <w:color w:val="FF0000"/>
              </w:rPr>
            </w:pPr>
            <w:r w:rsidRPr="00B32DF5">
              <w:rPr>
                <w:color w:val="FF0000"/>
              </w:rPr>
              <w:t>Time frame for discussion with DSDBI: soon, as part of the ongoing discussions re 2013 WPV.</w:t>
            </w:r>
          </w:p>
        </w:tc>
      </w:tr>
    </w:tbl>
    <w:p w:rsidR="002B632A" w:rsidRPr="002B632A" w:rsidRDefault="002B632A" w:rsidP="00715209">
      <w:pPr>
        <w:spacing w:before="120" w:after="120"/>
      </w:pPr>
    </w:p>
    <w:sectPr w:rsidR="002B632A" w:rsidRPr="002B632A" w:rsidSect="001A73F4">
      <w:footerReference w:type="default" r:id="rId8"/>
      <w:pgSz w:w="16838" w:h="11906" w:orient="landscape"/>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083140" w15:done="0"/>
  <w15:commentEx w15:paraId="5D4149C2" w15:done="0"/>
  <w15:commentEx w15:paraId="65D3D3F0" w15:done="0"/>
  <w15:commentEx w15:paraId="03694B7B" w15:done="0"/>
  <w15:commentEx w15:paraId="79814F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20E" w:rsidRDefault="009D620E" w:rsidP="008D7B4C">
      <w:pPr>
        <w:spacing w:after="0" w:line="240" w:lineRule="auto"/>
      </w:pPr>
      <w:r>
        <w:separator/>
      </w:r>
    </w:p>
  </w:endnote>
  <w:endnote w:type="continuationSeparator" w:id="0">
    <w:p w:rsidR="009D620E" w:rsidRDefault="009D620E" w:rsidP="008D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078484"/>
      <w:docPartObj>
        <w:docPartGallery w:val="Page Numbers (Bottom of Page)"/>
        <w:docPartUnique/>
      </w:docPartObj>
    </w:sdtPr>
    <w:sdtEndPr>
      <w:rPr>
        <w:noProof/>
      </w:rPr>
    </w:sdtEndPr>
    <w:sdtContent>
      <w:p w:rsidR="00E44DA2" w:rsidRDefault="00E44DA2" w:rsidP="008D7B4C">
        <w:pPr>
          <w:pStyle w:val="Footer"/>
          <w:jc w:val="right"/>
        </w:pPr>
        <w:r>
          <w:fldChar w:fldCharType="begin"/>
        </w:r>
        <w:r>
          <w:instrText xml:space="preserve"> PAGE   \* MERGEFORMAT </w:instrText>
        </w:r>
        <w:r>
          <w:fldChar w:fldCharType="separate"/>
        </w:r>
        <w:r w:rsidR="00D93537">
          <w:rPr>
            <w:noProof/>
          </w:rPr>
          <w:t>7</w:t>
        </w:r>
        <w:r>
          <w:rPr>
            <w:noProof/>
          </w:rPr>
          <w:fldChar w:fldCharType="end"/>
        </w:r>
      </w:p>
    </w:sdtContent>
  </w:sdt>
  <w:p w:rsidR="00E44DA2" w:rsidRDefault="00E44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20E" w:rsidRDefault="009D620E" w:rsidP="008D7B4C">
      <w:pPr>
        <w:spacing w:after="0" w:line="240" w:lineRule="auto"/>
      </w:pPr>
      <w:r>
        <w:separator/>
      </w:r>
    </w:p>
  </w:footnote>
  <w:footnote w:type="continuationSeparator" w:id="0">
    <w:p w:rsidR="009D620E" w:rsidRDefault="009D620E" w:rsidP="008D7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B98"/>
    <w:multiLevelType w:val="hybridMultilevel"/>
    <w:tmpl w:val="ACB66E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415C0B"/>
    <w:multiLevelType w:val="hybridMultilevel"/>
    <w:tmpl w:val="DCB0F8DA"/>
    <w:lvl w:ilvl="0" w:tplc="BE4E69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A0447F"/>
    <w:multiLevelType w:val="hybridMultilevel"/>
    <w:tmpl w:val="76449F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F74271"/>
    <w:multiLevelType w:val="hybridMultilevel"/>
    <w:tmpl w:val="3340A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0595573"/>
    <w:multiLevelType w:val="hybridMultilevel"/>
    <w:tmpl w:val="DA1CE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73F4A65"/>
    <w:multiLevelType w:val="hybridMultilevel"/>
    <w:tmpl w:val="34AAEC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1901186"/>
    <w:multiLevelType w:val="hybridMultilevel"/>
    <w:tmpl w:val="E04072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03C06E4"/>
    <w:multiLevelType w:val="hybridMultilevel"/>
    <w:tmpl w:val="864211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1BC060D"/>
    <w:multiLevelType w:val="hybridMultilevel"/>
    <w:tmpl w:val="57888BA0"/>
    <w:lvl w:ilvl="0" w:tplc="BE4E69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FBD3E06"/>
    <w:multiLevelType w:val="hybridMultilevel"/>
    <w:tmpl w:val="5238C202"/>
    <w:lvl w:ilvl="0" w:tplc="5ECE90A6">
      <w:start w:val="1"/>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38F6AA6"/>
    <w:multiLevelType w:val="hybridMultilevel"/>
    <w:tmpl w:val="4202A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67A5770"/>
    <w:multiLevelType w:val="hybridMultilevel"/>
    <w:tmpl w:val="6A98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FD3685"/>
    <w:multiLevelType w:val="hybridMultilevel"/>
    <w:tmpl w:val="55AC31A8"/>
    <w:lvl w:ilvl="0" w:tplc="5ECE90A6">
      <w:start w:val="1"/>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BBB4503"/>
    <w:multiLevelType w:val="hybridMultilevel"/>
    <w:tmpl w:val="0B3A0926"/>
    <w:lvl w:ilvl="0" w:tplc="8A80F4E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0"/>
  </w:num>
  <w:num w:numId="5">
    <w:abstractNumId w:val="4"/>
  </w:num>
  <w:num w:numId="6">
    <w:abstractNumId w:val="5"/>
  </w:num>
  <w:num w:numId="7">
    <w:abstractNumId w:val="3"/>
  </w:num>
  <w:num w:numId="8">
    <w:abstractNumId w:val="6"/>
  </w:num>
  <w:num w:numId="9">
    <w:abstractNumId w:val="0"/>
  </w:num>
  <w:num w:numId="10">
    <w:abstractNumId w:val="13"/>
  </w:num>
  <w:num w:numId="11">
    <w:abstractNumId w:val="1"/>
  </w:num>
  <w:num w:numId="12">
    <w:abstractNumId w:val="8"/>
  </w:num>
  <w:num w:numId="13">
    <w:abstractNumId w:val="9"/>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w15:presenceInfo w15:providerId="None" w15:userId="Rac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6D"/>
    <w:rsid w:val="000013E8"/>
    <w:rsid w:val="00011407"/>
    <w:rsid w:val="00032BD9"/>
    <w:rsid w:val="00050A96"/>
    <w:rsid w:val="00063926"/>
    <w:rsid w:val="00071825"/>
    <w:rsid w:val="000754D3"/>
    <w:rsid w:val="000914DD"/>
    <w:rsid w:val="000C3108"/>
    <w:rsid w:val="00104A24"/>
    <w:rsid w:val="0010618A"/>
    <w:rsid w:val="00193442"/>
    <w:rsid w:val="00195C9C"/>
    <w:rsid w:val="001A73F4"/>
    <w:rsid w:val="001B03C2"/>
    <w:rsid w:val="002272DC"/>
    <w:rsid w:val="0027466D"/>
    <w:rsid w:val="00293562"/>
    <w:rsid w:val="002B632A"/>
    <w:rsid w:val="002B6514"/>
    <w:rsid w:val="0031309E"/>
    <w:rsid w:val="00322063"/>
    <w:rsid w:val="00363C73"/>
    <w:rsid w:val="003E45FE"/>
    <w:rsid w:val="004460E7"/>
    <w:rsid w:val="00447C4A"/>
    <w:rsid w:val="00473987"/>
    <w:rsid w:val="004A6568"/>
    <w:rsid w:val="004C6819"/>
    <w:rsid w:val="004F2D27"/>
    <w:rsid w:val="004F620D"/>
    <w:rsid w:val="0050709B"/>
    <w:rsid w:val="00535001"/>
    <w:rsid w:val="00556EA3"/>
    <w:rsid w:val="00593E42"/>
    <w:rsid w:val="0059507F"/>
    <w:rsid w:val="005A2E6C"/>
    <w:rsid w:val="005A2F45"/>
    <w:rsid w:val="005B1168"/>
    <w:rsid w:val="005C5D33"/>
    <w:rsid w:val="005D06BD"/>
    <w:rsid w:val="0063098A"/>
    <w:rsid w:val="006601A2"/>
    <w:rsid w:val="006A3F01"/>
    <w:rsid w:val="006C7DE5"/>
    <w:rsid w:val="006F16F6"/>
    <w:rsid w:val="006F5413"/>
    <w:rsid w:val="00715209"/>
    <w:rsid w:val="00750264"/>
    <w:rsid w:val="0077190D"/>
    <w:rsid w:val="007B7C4D"/>
    <w:rsid w:val="008B21A1"/>
    <w:rsid w:val="008D7B4C"/>
    <w:rsid w:val="00914D1B"/>
    <w:rsid w:val="009C1607"/>
    <w:rsid w:val="009D620E"/>
    <w:rsid w:val="00A27117"/>
    <w:rsid w:val="00A315CE"/>
    <w:rsid w:val="00A466A5"/>
    <w:rsid w:val="00A5649A"/>
    <w:rsid w:val="00A74681"/>
    <w:rsid w:val="00A75286"/>
    <w:rsid w:val="00AB7F23"/>
    <w:rsid w:val="00AF0DE2"/>
    <w:rsid w:val="00B073EE"/>
    <w:rsid w:val="00B32DF5"/>
    <w:rsid w:val="00B51451"/>
    <w:rsid w:val="00C11EBE"/>
    <w:rsid w:val="00C4694E"/>
    <w:rsid w:val="00C777CD"/>
    <w:rsid w:val="00C810E0"/>
    <w:rsid w:val="00CC0299"/>
    <w:rsid w:val="00CC6D6E"/>
    <w:rsid w:val="00D654C0"/>
    <w:rsid w:val="00D93537"/>
    <w:rsid w:val="00DB3F41"/>
    <w:rsid w:val="00DB64A9"/>
    <w:rsid w:val="00DC3977"/>
    <w:rsid w:val="00DD2E4C"/>
    <w:rsid w:val="00DD3BFC"/>
    <w:rsid w:val="00DF5991"/>
    <w:rsid w:val="00E14373"/>
    <w:rsid w:val="00E44DA2"/>
    <w:rsid w:val="00E4703A"/>
    <w:rsid w:val="00E5693D"/>
    <w:rsid w:val="00E74B71"/>
    <w:rsid w:val="00E94F1C"/>
    <w:rsid w:val="00EA6CF1"/>
    <w:rsid w:val="00EB2AD0"/>
    <w:rsid w:val="00ED5CCB"/>
    <w:rsid w:val="00EE158E"/>
    <w:rsid w:val="00F6318C"/>
    <w:rsid w:val="00F702D1"/>
    <w:rsid w:val="00FC0E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2A"/>
    <w:pPr>
      <w:ind w:left="720"/>
      <w:contextualSpacing/>
    </w:pPr>
  </w:style>
  <w:style w:type="table" w:styleId="TableGrid">
    <w:name w:val="Table Grid"/>
    <w:basedOn w:val="TableNormal"/>
    <w:uiPriority w:val="59"/>
    <w:rsid w:val="002B6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93562"/>
    <w:rPr>
      <w:sz w:val="16"/>
      <w:szCs w:val="16"/>
    </w:rPr>
  </w:style>
  <w:style w:type="paragraph" w:styleId="CommentText">
    <w:name w:val="annotation text"/>
    <w:basedOn w:val="Normal"/>
    <w:link w:val="CommentTextChar"/>
    <w:uiPriority w:val="99"/>
    <w:semiHidden/>
    <w:unhideWhenUsed/>
    <w:rsid w:val="00293562"/>
    <w:pPr>
      <w:spacing w:line="240" w:lineRule="auto"/>
    </w:pPr>
    <w:rPr>
      <w:sz w:val="20"/>
      <w:szCs w:val="20"/>
    </w:rPr>
  </w:style>
  <w:style w:type="character" w:customStyle="1" w:styleId="CommentTextChar">
    <w:name w:val="Comment Text Char"/>
    <w:basedOn w:val="DefaultParagraphFont"/>
    <w:link w:val="CommentText"/>
    <w:uiPriority w:val="99"/>
    <w:semiHidden/>
    <w:rsid w:val="00293562"/>
    <w:rPr>
      <w:sz w:val="20"/>
      <w:szCs w:val="20"/>
    </w:rPr>
  </w:style>
  <w:style w:type="paragraph" w:styleId="CommentSubject">
    <w:name w:val="annotation subject"/>
    <w:basedOn w:val="CommentText"/>
    <w:next w:val="CommentText"/>
    <w:link w:val="CommentSubjectChar"/>
    <w:uiPriority w:val="99"/>
    <w:semiHidden/>
    <w:unhideWhenUsed/>
    <w:rsid w:val="00293562"/>
    <w:rPr>
      <w:b/>
      <w:bCs/>
    </w:rPr>
  </w:style>
  <w:style w:type="character" w:customStyle="1" w:styleId="CommentSubjectChar">
    <w:name w:val="Comment Subject Char"/>
    <w:basedOn w:val="CommentTextChar"/>
    <w:link w:val="CommentSubject"/>
    <w:uiPriority w:val="99"/>
    <w:semiHidden/>
    <w:rsid w:val="00293562"/>
    <w:rPr>
      <w:b/>
      <w:bCs/>
      <w:sz w:val="20"/>
      <w:szCs w:val="20"/>
    </w:rPr>
  </w:style>
  <w:style w:type="paragraph" w:styleId="BalloonText">
    <w:name w:val="Balloon Text"/>
    <w:basedOn w:val="Normal"/>
    <w:link w:val="BalloonTextChar"/>
    <w:uiPriority w:val="99"/>
    <w:semiHidden/>
    <w:unhideWhenUsed/>
    <w:rsid w:val="0029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562"/>
    <w:rPr>
      <w:rFonts w:ascii="Tahoma" w:hAnsi="Tahoma" w:cs="Tahoma"/>
      <w:sz w:val="16"/>
      <w:szCs w:val="16"/>
    </w:rPr>
  </w:style>
  <w:style w:type="paragraph" w:styleId="Header">
    <w:name w:val="header"/>
    <w:basedOn w:val="Normal"/>
    <w:link w:val="HeaderChar"/>
    <w:uiPriority w:val="99"/>
    <w:unhideWhenUsed/>
    <w:rsid w:val="008D7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B4C"/>
  </w:style>
  <w:style w:type="paragraph" w:styleId="Footer">
    <w:name w:val="footer"/>
    <w:basedOn w:val="Normal"/>
    <w:link w:val="FooterChar"/>
    <w:uiPriority w:val="99"/>
    <w:unhideWhenUsed/>
    <w:rsid w:val="008D7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2A"/>
    <w:pPr>
      <w:ind w:left="720"/>
      <w:contextualSpacing/>
    </w:pPr>
  </w:style>
  <w:style w:type="table" w:styleId="TableGrid">
    <w:name w:val="Table Grid"/>
    <w:basedOn w:val="TableNormal"/>
    <w:uiPriority w:val="59"/>
    <w:rsid w:val="002B6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93562"/>
    <w:rPr>
      <w:sz w:val="16"/>
      <w:szCs w:val="16"/>
    </w:rPr>
  </w:style>
  <w:style w:type="paragraph" w:styleId="CommentText">
    <w:name w:val="annotation text"/>
    <w:basedOn w:val="Normal"/>
    <w:link w:val="CommentTextChar"/>
    <w:uiPriority w:val="99"/>
    <w:semiHidden/>
    <w:unhideWhenUsed/>
    <w:rsid w:val="00293562"/>
    <w:pPr>
      <w:spacing w:line="240" w:lineRule="auto"/>
    </w:pPr>
    <w:rPr>
      <w:sz w:val="20"/>
      <w:szCs w:val="20"/>
    </w:rPr>
  </w:style>
  <w:style w:type="character" w:customStyle="1" w:styleId="CommentTextChar">
    <w:name w:val="Comment Text Char"/>
    <w:basedOn w:val="DefaultParagraphFont"/>
    <w:link w:val="CommentText"/>
    <w:uiPriority w:val="99"/>
    <w:semiHidden/>
    <w:rsid w:val="00293562"/>
    <w:rPr>
      <w:sz w:val="20"/>
      <w:szCs w:val="20"/>
    </w:rPr>
  </w:style>
  <w:style w:type="paragraph" w:styleId="CommentSubject">
    <w:name w:val="annotation subject"/>
    <w:basedOn w:val="CommentText"/>
    <w:next w:val="CommentText"/>
    <w:link w:val="CommentSubjectChar"/>
    <w:uiPriority w:val="99"/>
    <w:semiHidden/>
    <w:unhideWhenUsed/>
    <w:rsid w:val="00293562"/>
    <w:rPr>
      <w:b/>
      <w:bCs/>
    </w:rPr>
  </w:style>
  <w:style w:type="character" w:customStyle="1" w:styleId="CommentSubjectChar">
    <w:name w:val="Comment Subject Char"/>
    <w:basedOn w:val="CommentTextChar"/>
    <w:link w:val="CommentSubject"/>
    <w:uiPriority w:val="99"/>
    <w:semiHidden/>
    <w:rsid w:val="00293562"/>
    <w:rPr>
      <w:b/>
      <w:bCs/>
      <w:sz w:val="20"/>
      <w:szCs w:val="20"/>
    </w:rPr>
  </w:style>
  <w:style w:type="paragraph" w:styleId="BalloonText">
    <w:name w:val="Balloon Text"/>
    <w:basedOn w:val="Normal"/>
    <w:link w:val="BalloonTextChar"/>
    <w:uiPriority w:val="99"/>
    <w:semiHidden/>
    <w:unhideWhenUsed/>
    <w:rsid w:val="00293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562"/>
    <w:rPr>
      <w:rFonts w:ascii="Tahoma" w:hAnsi="Tahoma" w:cs="Tahoma"/>
      <w:sz w:val="16"/>
      <w:szCs w:val="16"/>
    </w:rPr>
  </w:style>
  <w:style w:type="paragraph" w:styleId="Header">
    <w:name w:val="header"/>
    <w:basedOn w:val="Normal"/>
    <w:link w:val="HeaderChar"/>
    <w:uiPriority w:val="99"/>
    <w:unhideWhenUsed/>
    <w:rsid w:val="008D7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B4C"/>
  </w:style>
  <w:style w:type="paragraph" w:styleId="Footer">
    <w:name w:val="footer"/>
    <w:basedOn w:val="Normal"/>
    <w:link w:val="FooterChar"/>
    <w:uiPriority w:val="99"/>
    <w:unhideWhenUsed/>
    <w:rsid w:val="008D7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1965</Words>
  <Characters>11030</Characters>
  <Application>Microsoft Office Word</Application>
  <DocSecurity>0</DocSecurity>
  <Lines>380</Lines>
  <Paragraphs>249</Paragraphs>
  <ScaleCrop>false</ScaleCrop>
  <HeadingPairs>
    <vt:vector size="2" baseType="variant">
      <vt:variant>
        <vt:lpstr>Title</vt:lpstr>
      </vt:variant>
      <vt:variant>
        <vt:i4>1</vt:i4>
      </vt:variant>
    </vt:vector>
  </HeadingPairs>
  <TitlesOfParts>
    <vt:vector size="1" baseType="lpstr">
      <vt:lpstr/>
    </vt:vector>
  </TitlesOfParts>
  <Company>International Power Australia</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Curtain</dc:creator>
  <cp:lastModifiedBy>David Curtain</cp:lastModifiedBy>
  <cp:revision>3</cp:revision>
  <dcterms:created xsi:type="dcterms:W3CDTF">2014-06-12T09:12:00Z</dcterms:created>
  <dcterms:modified xsi:type="dcterms:W3CDTF">2014-06-12T10:24:00Z</dcterms:modified>
</cp:coreProperties>
</file>