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57"/>
        <w:ind w:left="118" w:right="518" w:firstLine="340"/>
        <w:jc w:val="left"/>
        <w:rPr>
          <w:rFonts w:ascii="Verdana" w:hAnsi="Verdana" w:cs="Verdana" w:eastAsia="Verdana"/>
          <w:sz w:val="24"/>
          <w:szCs w:val="24"/>
        </w:rPr>
      </w:pPr>
      <w:r>
        <w:rPr>
          <w:rFonts w:ascii="Verdana" w:hAnsi="Verdana" w:cs="Verdana" w:eastAsia="Verdana"/>
          <w:b/>
          <w:bCs/>
          <w:sz w:val="24"/>
          <w:szCs w:val="24"/>
        </w:rPr>
        <w:t>AMA Victoria</w:t>
      </w:r>
      <w:r>
        <w:rPr>
          <w:rFonts w:ascii="Verdana" w:hAnsi="Verdana" w:cs="Verdana" w:eastAsia="Verdana"/>
          <w:b/>
          <w:bCs/>
          <w:sz w:val="24"/>
          <w:szCs w:val="24"/>
        </w:rPr>
        <w:t>’s </w:t>
      </w:r>
      <w:r>
        <w:rPr>
          <w:rFonts w:ascii="Verdana" w:hAnsi="Verdana" w:cs="Verdana" w:eastAsia="Verdana"/>
          <w:b/>
          <w:bCs/>
          <w:sz w:val="24"/>
          <w:szCs w:val="24"/>
        </w:rPr>
        <w:t>submission to the </w:t>
      </w:r>
      <w:r>
        <w:rPr>
          <w:rFonts w:ascii="Verdana" w:hAnsi="Verdana" w:cs="Verdana" w:eastAsia="Verdana"/>
          <w:b/>
          <w:bCs/>
          <w:i/>
          <w:sz w:val="24"/>
          <w:szCs w:val="24"/>
        </w:rPr>
        <w:t>Hazelwood Mine Fire</w:t>
      </w:r>
      <w:r>
        <w:rPr>
          <w:rFonts w:ascii="Verdana" w:hAnsi="Verdana" w:cs="Verdana" w:eastAsia="Verdana"/>
          <w:b/>
          <w:bCs/>
          <w:i/>
          <w:spacing w:val="-24"/>
          <w:sz w:val="24"/>
          <w:szCs w:val="24"/>
        </w:rPr>
        <w:t> </w:t>
      </w:r>
      <w:r>
        <w:rPr>
          <w:rFonts w:ascii="Verdana" w:hAnsi="Verdana" w:cs="Verdana" w:eastAsia="Verdana"/>
          <w:b/>
          <w:bCs/>
          <w:i/>
          <w:sz w:val="24"/>
          <w:szCs w:val="24"/>
        </w:rPr>
        <w:t>Inquiry</w:t>
      </w:r>
      <w:r>
        <w:rPr>
          <w:rFonts w:ascii="Verdana" w:hAnsi="Verdana" w:cs="Verdana" w:eastAsia="Verdana"/>
          <w:sz w:val="24"/>
          <w:szCs w:val="24"/>
        </w:rPr>
      </w:r>
    </w:p>
    <w:p>
      <w:pPr>
        <w:spacing w:line="240" w:lineRule="auto" w:before="0"/>
        <w:rPr>
          <w:rFonts w:ascii="Verdana" w:hAnsi="Verdana" w:cs="Verdana" w:eastAsia="Verdana"/>
          <w:b/>
          <w:bCs/>
          <w:i/>
          <w:sz w:val="24"/>
          <w:szCs w:val="24"/>
        </w:rPr>
      </w:pPr>
    </w:p>
    <w:p>
      <w:pPr>
        <w:spacing w:before="190"/>
        <w:ind w:left="118" w:right="518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AMA Victoria welcomes the opportunity to provide input into the </w:t>
      </w:r>
      <w:r>
        <w:rPr>
          <w:rFonts w:ascii="Arial"/>
          <w:i/>
          <w:sz w:val="20"/>
        </w:rPr>
        <w:t>Hazelwood Mine Fire</w:t>
      </w:r>
      <w:r>
        <w:rPr>
          <w:rFonts w:ascii="Arial"/>
          <w:i/>
          <w:spacing w:val="-24"/>
          <w:sz w:val="20"/>
        </w:rPr>
        <w:t> </w:t>
      </w:r>
      <w:r>
        <w:rPr>
          <w:rFonts w:ascii="Arial"/>
          <w:i/>
          <w:sz w:val="20"/>
        </w:rPr>
        <w:t>Inquiry</w:t>
      </w:r>
      <w:r>
        <w:rPr>
          <w:rFonts w:ascii="Arial"/>
          <w:sz w:val="20"/>
        </w:rPr>
        <w:t>.</w:t>
      </w: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518"/>
        <w:jc w:val="left"/>
      </w:pPr>
      <w:r>
        <w:rPr/>
        <w:t>AMA Victoria does not have a direct role in the provision of activities or initiatives in the Latrobe</w:t>
      </w:r>
      <w:r>
        <w:rPr>
          <w:spacing w:val="-30"/>
        </w:rPr>
        <w:t> </w:t>
      </w:r>
      <w:r>
        <w:rPr/>
        <w:t>Valley</w:t>
      </w:r>
      <w:r>
        <w:rPr>
          <w:w w:val="99"/>
        </w:rPr>
        <w:t> </w:t>
      </w:r>
      <w:r>
        <w:rPr/>
        <w:t>but we are pleased to provide comment on proposals to create a Health Conservation Zone</w:t>
      </w:r>
      <w:r>
        <w:rPr>
          <w:spacing w:val="-19"/>
        </w:rPr>
        <w:t> </w:t>
      </w:r>
      <w:r>
        <w:rPr/>
        <w:t>and</w:t>
      </w:r>
      <w:r>
        <w:rPr>
          <w:w w:val="99"/>
        </w:rPr>
        <w:t> </w:t>
      </w:r>
      <w:r>
        <w:rPr/>
        <w:t>Health Advocate for the</w:t>
      </w:r>
      <w:r>
        <w:rPr>
          <w:spacing w:val="-13"/>
        </w:rPr>
        <w:t> </w:t>
      </w:r>
      <w:r>
        <w:rPr/>
        <w:t>region.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518"/>
        <w:jc w:val="left"/>
      </w:pPr>
      <w:r>
        <w:rPr/>
        <w:t>The health impacts of air pollution can range from acute and chronic effects, reproductive and</w:t>
      </w:r>
      <w:r>
        <w:rPr>
          <w:spacing w:val="-22"/>
        </w:rPr>
        <w:t> </w:t>
      </w:r>
      <w:r>
        <w:rPr/>
        <w:t>neuro-</w:t>
      </w:r>
      <w:r>
        <w:rPr>
          <w:w w:val="99"/>
        </w:rPr>
        <w:t> </w:t>
      </w:r>
      <w:r>
        <w:rPr/>
        <w:t>cognitive defects through to premature mortality. During the 2014 fire, local GPs reported seeing</w:t>
      </w:r>
      <w:r>
        <w:rPr>
          <w:spacing w:val="-24"/>
        </w:rPr>
        <w:t> </w:t>
      </w:r>
      <w:r>
        <w:rPr/>
        <w:t>a</w:t>
      </w:r>
      <w:r>
        <w:rPr>
          <w:w w:val="99"/>
        </w:rPr>
        <w:t> </w:t>
      </w:r>
      <w:r>
        <w:rPr/>
        <w:t>slight increase in minor respiratory issues, but Ambulance Victoria and Emergency Departments</w:t>
      </w:r>
      <w:r>
        <w:rPr>
          <w:spacing w:val="-21"/>
        </w:rPr>
        <w:t> </w:t>
      </w:r>
      <w:r>
        <w:rPr/>
        <w:t>did</w:t>
      </w:r>
      <w:r>
        <w:rPr>
          <w:w w:val="99"/>
        </w:rPr>
        <w:t> </w:t>
      </w:r>
      <w:r>
        <w:rPr/>
        <w:t>not report any substantial differences in their workload. Community Health Clinics that</w:t>
      </w:r>
      <w:r>
        <w:rPr>
          <w:spacing w:val="-18"/>
        </w:rPr>
        <w:t> </w:t>
      </w:r>
      <w:r>
        <w:rPr/>
        <w:t>were</w:t>
      </w:r>
      <w:r>
        <w:rPr>
          <w:w w:val="99"/>
        </w:rPr>
        <w:t> </w:t>
      </w:r>
      <w:r>
        <w:rPr>
          <w:rFonts w:ascii="Arial" w:hAnsi="Arial" w:cs="Arial" w:eastAsia="Arial"/>
        </w:rPr>
        <w:t>established to monitor residents’ health during this period reported seeing very few issues.</w:t>
      </w:r>
      <w:r>
        <w:rPr>
          <w:rFonts w:ascii="Arial" w:hAnsi="Arial" w:cs="Arial" w:eastAsia="Arial"/>
          <w:spacing w:val="-28"/>
        </w:rPr>
        <w:t> </w:t>
      </w:r>
      <w:r>
        <w:rPr>
          <w:rFonts w:ascii="Arial" w:hAnsi="Arial" w:cs="Arial" w:eastAsia="Arial"/>
        </w:rPr>
        <w:t>Despite</w:t>
      </w:r>
      <w:r>
        <w:rPr>
          <w:rFonts w:ascii="Arial" w:hAnsi="Arial" w:cs="Arial" w:eastAsia="Arial"/>
          <w:w w:val="99"/>
        </w:rPr>
        <w:t> </w:t>
      </w:r>
      <w:r>
        <w:rPr/>
        <w:t>this, it is possible that longer-term effects could still develop across the local</w:t>
      </w:r>
      <w:r>
        <w:rPr>
          <w:spacing w:val="-32"/>
        </w:rPr>
        <w:t> </w:t>
      </w:r>
      <w:r>
        <w:rPr/>
        <w:t>population.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518"/>
        <w:jc w:val="left"/>
      </w:pPr>
      <w:r>
        <w:rPr/>
        <w:t>AMA Victoria supports the implementation of the Hazelwood Health Study to monitor any</w:t>
      </w:r>
      <w:r>
        <w:rPr>
          <w:spacing w:val="-16"/>
        </w:rPr>
        <w:t> </w:t>
      </w:r>
      <w:r>
        <w:rPr/>
        <w:t>long-term</w:t>
      </w:r>
      <w:r>
        <w:rPr>
          <w:w w:val="99"/>
        </w:rPr>
        <w:t> </w:t>
      </w:r>
      <w:r>
        <w:rPr/>
        <w:t>effects that may result from the 2014</w:t>
      </w:r>
      <w:r>
        <w:rPr>
          <w:spacing w:val="-16"/>
        </w:rPr>
        <w:t> </w:t>
      </w:r>
      <w:r>
        <w:rPr/>
        <w:t>fire.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518"/>
        <w:jc w:val="left"/>
      </w:pPr>
      <w:r>
        <w:rPr/>
        <w:t>This review is a good opportunity for the State Government to develop a well-rounded,</w:t>
      </w:r>
      <w:r>
        <w:rPr>
          <w:spacing w:val="-27"/>
        </w:rPr>
        <w:t> </w:t>
      </w:r>
      <w:r>
        <w:rPr/>
        <w:t>coordinated</w:t>
      </w:r>
      <w:r>
        <w:rPr>
          <w:w w:val="99"/>
        </w:rPr>
        <w:t> </w:t>
      </w:r>
      <w:r>
        <w:rPr/>
        <w:t>approach to the health and wellbeing of rural and regional Victorians that takes account of the</w:t>
      </w:r>
      <w:r>
        <w:rPr>
          <w:spacing w:val="-27"/>
        </w:rPr>
        <w:t> </w:t>
      </w:r>
      <w:r>
        <w:rPr/>
        <w:t>whole</w:t>
      </w:r>
      <w:r>
        <w:rPr>
          <w:w w:val="99"/>
        </w:rPr>
        <w:t> </w:t>
      </w:r>
      <w:r>
        <w:rPr/>
        <w:t>life course, not just physical factors and</w:t>
      </w:r>
      <w:r>
        <w:rPr>
          <w:spacing w:val="-16"/>
        </w:rPr>
        <w:t> </w:t>
      </w:r>
      <w:r>
        <w:rPr/>
        <w:t>illness.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518"/>
        <w:jc w:val="left"/>
      </w:pPr>
      <w:r>
        <w:rPr/>
        <w:t>To improve the health of residents in the Latrobe Valley, engagement with the medical profession</w:t>
      </w:r>
      <w:r>
        <w:rPr>
          <w:spacing w:val="-25"/>
        </w:rPr>
        <w:t> </w:t>
      </w:r>
      <w:r>
        <w:rPr/>
        <w:t>is</w:t>
      </w:r>
      <w:r>
        <w:rPr>
          <w:w w:val="99"/>
        </w:rPr>
        <w:t> </w:t>
      </w:r>
      <w:r>
        <w:rPr>
          <w:rFonts w:ascii="Arial" w:hAnsi="Arial" w:cs="Arial" w:eastAsia="Arial"/>
        </w:rPr>
        <w:t>vital. This engagement must be meaningful and ongoing. Doctors already act as their</w:t>
      </w:r>
      <w:r>
        <w:rPr>
          <w:rFonts w:ascii="Arial" w:hAnsi="Arial" w:cs="Arial" w:eastAsia="Arial"/>
          <w:spacing w:val="-24"/>
        </w:rPr>
        <w:t> </w:t>
      </w:r>
      <w:r>
        <w:rPr>
          <w:rFonts w:ascii="Arial" w:hAnsi="Arial" w:cs="Arial" w:eastAsia="Arial"/>
        </w:rPr>
        <w:t>patient’s</w:t>
      </w:r>
      <w:r>
        <w:rPr>
          <w:rFonts w:ascii="Arial" w:hAnsi="Arial" w:cs="Arial" w:eastAsia="Arial"/>
          <w:w w:val="99"/>
        </w:rPr>
        <w:t> </w:t>
      </w:r>
      <w:r>
        <w:rPr/>
        <w:t>advocate and will always work in their best interests wherever</w:t>
      </w:r>
      <w:r>
        <w:rPr>
          <w:spacing w:val="-23"/>
        </w:rPr>
        <w:t> </w:t>
      </w:r>
      <w:r>
        <w:rPr/>
        <w:t>possible.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518"/>
        <w:jc w:val="left"/>
      </w:pPr>
      <w:r>
        <w:rPr/>
        <w:t>Medical practitioners, particularly general practitioners, are best placed to provide detailed advice</w:t>
      </w:r>
      <w:r>
        <w:rPr>
          <w:spacing w:val="-25"/>
        </w:rPr>
        <w:t> </w:t>
      </w:r>
      <w:r>
        <w:rPr/>
        <w:t>on</w:t>
      </w:r>
      <w:r>
        <w:rPr>
          <w:w w:val="99"/>
        </w:rPr>
        <w:t> </w:t>
      </w:r>
      <w:r>
        <w:rPr/>
        <w:t>the health needs of local residents. General practitioners currently manage the broad range of</w:t>
      </w:r>
      <w:r>
        <w:rPr>
          <w:spacing w:val="-28"/>
        </w:rPr>
        <w:t> </w:t>
      </w:r>
      <w:r>
        <w:rPr/>
        <w:t>chronic</w:t>
      </w:r>
      <w:r>
        <w:rPr>
          <w:w w:val="99"/>
        </w:rPr>
        <w:t> </w:t>
      </w:r>
      <w:r>
        <w:rPr/>
        <w:t>and complex care which their patients present with and are often the first to notice or be notified</w:t>
      </w:r>
      <w:r>
        <w:rPr>
          <w:spacing w:val="-16"/>
        </w:rPr>
        <w:t> </w:t>
      </w:r>
      <w:r>
        <w:rPr/>
        <w:t>of</w:t>
      </w:r>
      <w:r>
        <w:rPr>
          <w:w w:val="99"/>
        </w:rPr>
        <w:t> </w:t>
      </w:r>
      <w:r>
        <w:rPr>
          <w:rFonts w:ascii="Arial" w:hAnsi="Arial" w:cs="Arial" w:eastAsia="Arial"/>
        </w:rPr>
        <w:t>serious social issues, such as domestic violence, that can impact on a person’s mental and</w:t>
      </w:r>
      <w:r>
        <w:rPr>
          <w:rFonts w:ascii="Arial" w:hAnsi="Arial" w:cs="Arial" w:eastAsia="Arial"/>
          <w:spacing w:val="-27"/>
        </w:rPr>
        <w:t> </w:t>
      </w:r>
      <w:r>
        <w:rPr>
          <w:rFonts w:ascii="Arial" w:hAnsi="Arial" w:cs="Arial" w:eastAsia="Arial"/>
        </w:rPr>
        <w:t>physical</w:t>
      </w:r>
      <w:r>
        <w:rPr>
          <w:rFonts w:ascii="Arial" w:hAnsi="Arial" w:cs="Arial" w:eastAsia="Arial"/>
          <w:w w:val="99"/>
        </w:rPr>
        <w:t> </w:t>
      </w:r>
      <w:r>
        <w:rPr/>
        <w:t>health and</w:t>
      </w:r>
      <w:r>
        <w:rPr>
          <w:spacing w:val="-8"/>
        </w:rPr>
        <w:t> </w:t>
      </w:r>
      <w:r>
        <w:rPr/>
        <w:t>wellbeing.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296"/>
        <w:jc w:val="left"/>
      </w:pPr>
      <w:r>
        <w:rPr/>
        <w:t>Medical staff working in local hospitals and healthcare centres are the best people to consult</w:t>
      </w:r>
      <w:r>
        <w:rPr>
          <w:spacing w:val="-29"/>
        </w:rPr>
        <w:t> </w:t>
      </w:r>
      <w:r>
        <w:rPr/>
        <w:t>regarding</w:t>
      </w:r>
      <w:r>
        <w:rPr>
          <w:w w:val="99"/>
        </w:rPr>
        <w:t> </w:t>
      </w:r>
      <w:r>
        <w:rPr/>
        <w:t>the real capacity of the system to respond to emergency events into the future and to manage</w:t>
      </w:r>
      <w:r>
        <w:rPr>
          <w:spacing w:val="-25"/>
        </w:rPr>
        <w:t> </w:t>
      </w:r>
      <w:r>
        <w:rPr/>
        <w:t>current</w:t>
      </w:r>
      <w:r>
        <w:rPr>
          <w:w w:val="99"/>
        </w:rPr>
        <w:t> </w:t>
      </w:r>
      <w:r>
        <w:rPr/>
        <w:t>and growing demand. Whatever systems are put in place, they must be properly resourced on</w:t>
      </w:r>
      <w:r>
        <w:rPr>
          <w:spacing w:val="-24"/>
        </w:rPr>
        <w:t> </w:t>
      </w:r>
      <w:r>
        <w:rPr/>
        <w:t>an</w:t>
      </w:r>
      <w:r>
        <w:rPr>
          <w:w w:val="99"/>
        </w:rPr>
        <w:t> </w:t>
      </w:r>
      <w:r>
        <w:rPr/>
        <w:t>ongoing basis, have clear and achievable goals and objectives, and not duplicate existing</w:t>
      </w:r>
      <w:r>
        <w:rPr>
          <w:spacing w:val="-19"/>
        </w:rPr>
        <w:t> </w:t>
      </w:r>
      <w:r>
        <w:rPr/>
        <w:t>resources.</w:t>
      </w:r>
      <w:r>
        <w:rPr>
          <w:w w:val="99"/>
        </w:rPr>
        <w:t> </w:t>
      </w:r>
      <w:r>
        <w:rPr/>
        <w:t>Until a coordinated, long-term approach to health and wellbeing is adopted, optimum results are</w:t>
      </w:r>
      <w:r>
        <w:rPr>
          <w:spacing w:val="-22"/>
        </w:rPr>
        <w:t> </w:t>
      </w:r>
      <w:r>
        <w:rPr/>
        <w:t>not</w:t>
      </w:r>
      <w:r>
        <w:rPr>
          <w:w w:val="99"/>
        </w:rPr>
        <w:t> </w:t>
      </w:r>
      <w:r>
        <w:rPr/>
        <w:t>going to be</w:t>
      </w:r>
      <w:r>
        <w:rPr>
          <w:spacing w:val="-9"/>
        </w:rPr>
        <w:t> </w:t>
      </w:r>
      <w:r>
        <w:rPr/>
        <w:t>achieved.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518"/>
        <w:jc w:val="left"/>
      </w:pPr>
      <w:r>
        <w:rPr/>
        <w:t>Victoria already has multiple plans and processes for the health and wellbeing of the</w:t>
      </w:r>
      <w:r>
        <w:rPr>
          <w:spacing w:val="-19"/>
        </w:rPr>
        <w:t> </w:t>
      </w:r>
      <w:r>
        <w:rPr/>
        <w:t>community</w:t>
      </w:r>
      <w:r>
        <w:rPr>
          <w:w w:val="99"/>
        </w:rPr>
        <w:t> </w:t>
      </w:r>
      <w:r>
        <w:rPr/>
        <w:t>including the Public Health and Wellbeing Plan, Victorian Health Priorities Frameworks, Rural</w:t>
      </w:r>
      <w:r>
        <w:rPr>
          <w:spacing w:val="-20"/>
        </w:rPr>
        <w:t> </w:t>
      </w:r>
      <w:r>
        <w:rPr/>
        <w:t>and</w:t>
      </w:r>
      <w:r>
        <w:rPr>
          <w:w w:val="99"/>
        </w:rPr>
        <w:t> </w:t>
      </w:r>
      <w:r>
        <w:rPr/>
        <w:t>Regional Health Plans, local government health plans and plans developed by</w:t>
      </w:r>
      <w:r>
        <w:rPr>
          <w:spacing w:val="-11"/>
        </w:rPr>
        <w:t> </w:t>
      </w:r>
      <w:r>
        <w:rPr/>
        <w:t>Medicare</w:t>
      </w:r>
      <w:r>
        <w:rPr>
          <w:w w:val="99"/>
        </w:rPr>
        <w:t> </w:t>
      </w:r>
      <w:r>
        <w:rPr/>
        <w:t>Locals/Primary Health Networks. Better coordination and integration of these plans, and </w:t>
      </w:r>
      <w:r>
        <w:rPr>
          <w:spacing w:val="3"/>
        </w:rPr>
        <w:t>the</w:t>
      </w:r>
      <w:r>
        <w:rPr>
          <w:spacing w:val="-25"/>
        </w:rPr>
        <w:t> </w:t>
      </w:r>
      <w:r>
        <w:rPr/>
        <w:t>programs</w:t>
      </w:r>
      <w:r>
        <w:rPr>
          <w:w w:val="99"/>
        </w:rPr>
        <w:t> </w:t>
      </w:r>
      <w:r>
        <w:rPr/>
        <w:t>that support them, is the first step in improving health outcomes and preventing chronic</w:t>
      </w:r>
      <w:r>
        <w:rPr>
          <w:spacing w:val="-26"/>
        </w:rPr>
        <w:t> </w:t>
      </w:r>
      <w:r>
        <w:rPr/>
        <w:t>disease.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518"/>
        <w:jc w:val="left"/>
        <w:rPr>
          <w:rFonts w:ascii="Arial" w:hAnsi="Arial" w:cs="Arial" w:eastAsia="Arial"/>
        </w:rPr>
      </w:pPr>
      <w:r>
        <w:rPr/>
        <w:t>Ongoing, reliable and long-term investments in health promotion and prevention programs, such</w:t>
      </w:r>
      <w:r>
        <w:rPr>
          <w:spacing w:val="-25"/>
        </w:rPr>
        <w:t> </w:t>
      </w:r>
      <w:r>
        <w:rPr/>
        <w:t>as</w:t>
      </w:r>
      <w:r>
        <w:rPr>
          <w:w w:val="99"/>
        </w:rPr>
        <w:t> </w:t>
      </w:r>
      <w:r>
        <w:rPr>
          <w:rFonts w:ascii="Arial" w:hAnsi="Arial" w:cs="Arial" w:eastAsia="Arial"/>
          <w:i/>
        </w:rPr>
        <w:t>Healthy Together Victoria, </w:t>
      </w:r>
      <w:r>
        <w:rPr/>
        <w:t>is vital. Communities and agencies cannot appropriately plan for</w:t>
      </w:r>
      <w:r>
        <w:rPr>
          <w:spacing w:val="-20"/>
        </w:rPr>
        <w:t> </w:t>
      </w:r>
      <w:r>
        <w:rPr/>
        <w:t>their</w:t>
      </w:r>
      <w:r>
        <w:rPr>
          <w:w w:val="99"/>
        </w:rPr>
        <w:t> </w:t>
      </w:r>
      <w:r>
        <w:rPr>
          <w:rFonts w:ascii="Arial" w:hAnsi="Arial" w:cs="Arial" w:eastAsia="Arial"/>
        </w:rPr>
        <w:t>communities’ needs, or deliver effective interventions, if they are unsure of</w:t>
      </w:r>
      <w:r>
        <w:rPr>
          <w:rFonts w:ascii="Arial" w:hAnsi="Arial" w:cs="Arial" w:eastAsia="Arial"/>
          <w:spacing w:val="-26"/>
        </w:rPr>
        <w:t> </w:t>
      </w:r>
      <w:r>
        <w:rPr>
          <w:rFonts w:ascii="Arial" w:hAnsi="Arial" w:cs="Arial" w:eastAsia="Arial"/>
        </w:rPr>
        <w:t>funding.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518"/>
        <w:jc w:val="left"/>
        <w:rPr>
          <w:b w:val="0"/>
          <w:bCs w:val="0"/>
        </w:rPr>
      </w:pPr>
      <w:r>
        <w:rPr/>
        <w:t>The creation of a Health Conservation Zone in the Latrobe</w:t>
      </w:r>
      <w:r>
        <w:rPr>
          <w:spacing w:val="-23"/>
        </w:rPr>
        <w:t> </w:t>
      </w:r>
      <w:r>
        <w:rPr/>
        <w:t>Valley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457"/>
        <w:jc w:val="both"/>
      </w:pPr>
      <w:r>
        <w:rPr/>
        <w:t>The </w:t>
      </w:r>
      <w:r>
        <w:rPr>
          <w:rFonts w:ascii="Arial"/>
          <w:i/>
        </w:rPr>
        <w:t>Victorian Health Priorities Framework 2012-2022: Rural and Regional Health Plan </w:t>
      </w:r>
      <w:r>
        <w:rPr/>
        <w:t>highlights</w:t>
      </w:r>
      <w:r>
        <w:rPr>
          <w:spacing w:val="20"/>
        </w:rPr>
        <w:t> </w:t>
      </w:r>
      <w:r>
        <w:rPr/>
        <w:t>the</w:t>
      </w:r>
      <w:r>
        <w:rPr>
          <w:w w:val="99"/>
        </w:rPr>
        <w:t> </w:t>
      </w:r>
      <w:r>
        <w:rPr/>
        <w:t>poorer</w:t>
      </w:r>
      <w:r>
        <w:rPr>
          <w:spacing w:val="19"/>
        </w:rPr>
        <w:t> </w:t>
      </w:r>
      <w:r>
        <w:rPr/>
        <w:t>health</w:t>
      </w:r>
      <w:r>
        <w:rPr>
          <w:spacing w:val="18"/>
        </w:rPr>
        <w:t> </w:t>
      </w:r>
      <w:r>
        <w:rPr/>
        <w:t>outcomes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rural</w:t>
      </w:r>
      <w:r>
        <w:rPr>
          <w:spacing w:val="15"/>
        </w:rPr>
        <w:t> </w:t>
      </w:r>
      <w:r>
        <w:rPr/>
        <w:t>residents</w:t>
      </w:r>
      <w:r>
        <w:rPr>
          <w:spacing w:val="16"/>
        </w:rPr>
        <w:t> </w:t>
      </w:r>
      <w:r>
        <w:rPr/>
        <w:t>compared</w:t>
      </w:r>
      <w:r>
        <w:rPr>
          <w:spacing w:val="18"/>
        </w:rPr>
        <w:t> </w:t>
      </w:r>
      <w:r>
        <w:rPr/>
        <w:t>to</w:t>
      </w:r>
      <w:r>
        <w:rPr>
          <w:spacing w:val="16"/>
        </w:rPr>
        <w:t> </w:t>
      </w:r>
      <w:r>
        <w:rPr/>
        <w:t>metropolitan</w:t>
      </w:r>
      <w:r>
        <w:rPr>
          <w:spacing w:val="17"/>
        </w:rPr>
        <w:t> </w:t>
      </w:r>
      <w:r>
        <w:rPr/>
        <w:t>residents.</w:t>
      </w:r>
      <w:r>
        <w:rPr>
          <w:spacing w:val="18"/>
        </w:rPr>
        <w:t> </w:t>
      </w:r>
      <w:r>
        <w:rPr/>
        <w:t>Statistics</w:t>
      </w:r>
      <w:r>
        <w:rPr>
          <w:spacing w:val="17"/>
        </w:rPr>
        <w:t> </w:t>
      </w:r>
      <w:r>
        <w:rPr/>
        <w:t>show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if</w:t>
      </w:r>
      <w:r>
        <w:rPr>
          <w:w w:val="99"/>
        </w:rPr>
        <w:t> </w:t>
      </w:r>
      <w:r>
        <w:rPr/>
        <w:t>you live in the country you may be twice as likely to smoke, and up to two-and-half times more likely</w:t>
      </w:r>
      <w:r>
        <w:rPr>
          <w:spacing w:val="3"/>
        </w:rPr>
        <w:t> </w:t>
      </w:r>
      <w:r>
        <w:rPr/>
        <w:t>to</w:t>
      </w:r>
      <w:r>
        <w:rPr>
          <w:w w:val="99"/>
        </w:rPr>
        <w:t> </w:t>
      </w:r>
      <w:r>
        <w:rPr/>
        <w:t>be</w:t>
      </w:r>
      <w:r>
        <w:rPr>
          <w:spacing w:val="19"/>
        </w:rPr>
        <w:t> </w:t>
      </w:r>
      <w:r>
        <w:rPr/>
        <w:t>obese.</w:t>
      </w:r>
      <w:r>
        <w:rPr>
          <w:position w:val="6"/>
          <w:sz w:val="13"/>
        </w:rPr>
        <w:t>1</w:t>
      </w:r>
      <w:r>
        <w:rPr>
          <w:spacing w:val="3"/>
          <w:position w:val="6"/>
          <w:sz w:val="13"/>
        </w:rPr>
        <w:t> </w:t>
      </w:r>
      <w:r>
        <w:rPr/>
        <w:t>These</w:t>
      </w:r>
      <w:r>
        <w:rPr>
          <w:spacing w:val="19"/>
        </w:rPr>
        <w:t> </w:t>
      </w:r>
      <w:r>
        <w:rPr/>
        <w:t>health</w:t>
      </w:r>
      <w:r>
        <w:rPr>
          <w:spacing w:val="21"/>
        </w:rPr>
        <w:t> </w:t>
      </w:r>
      <w:r>
        <w:rPr/>
        <w:t>inequalities</w:t>
      </w:r>
      <w:r>
        <w:rPr>
          <w:spacing w:val="23"/>
        </w:rPr>
        <w:t> </w:t>
      </w:r>
      <w:r>
        <w:rPr/>
        <w:t>existed</w:t>
      </w:r>
      <w:r>
        <w:rPr>
          <w:spacing w:val="21"/>
        </w:rPr>
        <w:t> </w:t>
      </w:r>
      <w:r>
        <w:rPr/>
        <w:t>before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fire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2014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will</w:t>
      </w:r>
      <w:r>
        <w:rPr>
          <w:spacing w:val="19"/>
        </w:rPr>
        <w:t> </w:t>
      </w:r>
      <w:r>
        <w:rPr/>
        <w:t>continue</w:t>
      </w:r>
      <w:r>
        <w:rPr>
          <w:spacing w:val="19"/>
        </w:rPr>
        <w:t> </w:t>
      </w:r>
      <w:r>
        <w:rPr/>
        <w:t>into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future</w:t>
      </w:r>
      <w:r>
        <w:rPr>
          <w:w w:val="99"/>
        </w:rPr>
        <w:t> </w:t>
      </w:r>
      <w:r>
        <w:rPr/>
        <w:t>without coordinated investment in health promotion and prevention from the</w:t>
      </w:r>
      <w:r>
        <w:rPr>
          <w:spacing w:val="-23"/>
        </w:rPr>
        <w:t> </w:t>
      </w:r>
      <w:r>
        <w:rPr/>
        <w:t>Government.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9"/>
          <w:szCs w:val="29"/>
        </w:rPr>
      </w:pPr>
    </w:p>
    <w:p>
      <w:pPr>
        <w:spacing w:line="20" w:lineRule="exact"/>
        <w:ind w:left="1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65pt;height:.6pt;mso-position-horizontal-relative:char;mso-position-vertical-relative:line" coordorigin="0,0" coordsize="2893,12">
            <v:group style="position:absolute;left:6;top:6;width:2881;height:2" coordorigin="6,6" coordsize="2881,2">
              <v:shape style="position:absolute;left:6;top:6;width:2881;height:2" coordorigin="6,6" coordsize="2881,0" path="m6,6l2886,6e" filled="false" stroked="true" strokeweight=".6000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76"/>
        <w:ind w:left="118" w:right="518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/>
          <w:position w:val="6"/>
          <w:sz w:val="10"/>
        </w:rPr>
        <w:t>1</w:t>
      </w:r>
      <w:r>
        <w:rPr>
          <w:rFonts w:ascii="Times New Roman"/>
          <w:spacing w:val="12"/>
          <w:position w:val="6"/>
          <w:sz w:val="10"/>
        </w:rPr>
        <w:t> </w:t>
      </w:r>
      <w:r>
        <w:rPr>
          <w:rFonts w:ascii="Times New Roman"/>
          <w:sz w:val="16"/>
        </w:rPr>
        <w:t>AIHW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2014.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Australia's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health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2014.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Australia's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health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series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no.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14.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Cat.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no.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AUS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178.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Canberra: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AIHW.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16"/>
          <w:szCs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283" w:footer="487" w:top="1320" w:bottom="680" w:left="1300" w:right="960"/>
          <w:pgNumType w:start="1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74"/>
        <w:ind w:right="518"/>
        <w:jc w:val="left"/>
      </w:pPr>
      <w:r>
        <w:rPr/>
        <w:t>Effective health promotion by the State Government can reduce the burden of chronic disease</w:t>
      </w:r>
      <w:r>
        <w:rPr>
          <w:spacing w:val="-30"/>
        </w:rPr>
        <w:t> </w:t>
      </w:r>
      <w:r>
        <w:rPr/>
        <w:t>and</w:t>
      </w:r>
      <w:r>
        <w:rPr>
          <w:w w:val="99"/>
        </w:rPr>
        <w:t> </w:t>
      </w:r>
      <w:r>
        <w:rPr/>
        <w:t>ease some of the pressures on the health system. Investing in public health improves the</w:t>
      </w:r>
      <w:r>
        <w:rPr>
          <w:spacing w:val="-24"/>
        </w:rPr>
        <w:t> </w:t>
      </w:r>
      <w:r>
        <w:rPr/>
        <w:t>overall</w:t>
      </w:r>
      <w:r>
        <w:rPr>
          <w:w w:val="99"/>
        </w:rPr>
        <w:t> </w:t>
      </w:r>
      <w:r>
        <w:rPr>
          <w:rFonts w:ascii="Arial" w:hAnsi="Arial" w:cs="Arial" w:eastAsia="Arial"/>
        </w:rPr>
        <w:t>health and wellbeing of Victoria’s population and can represent significant econ</w:t>
      </w:r>
      <w:r>
        <w:rPr/>
        <w:t>omic and</w:t>
      </w:r>
      <w:r>
        <w:rPr>
          <w:spacing w:val="-12"/>
        </w:rPr>
        <w:t> </w:t>
      </w:r>
      <w:r>
        <w:rPr/>
        <w:t>social</w:t>
      </w:r>
      <w:r>
        <w:rPr>
          <w:w w:val="99"/>
        </w:rPr>
        <w:t> </w:t>
      </w:r>
      <w:r>
        <w:rPr/>
        <w:t>benefits.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518"/>
        <w:jc w:val="left"/>
      </w:pPr>
      <w:r>
        <w:rPr/>
        <w:t>To ensure that Victorians are as healthy as they can be, there needs to be further investment</w:t>
      </w:r>
      <w:r>
        <w:rPr>
          <w:spacing w:val="-29"/>
        </w:rPr>
        <w:t> </w:t>
      </w:r>
      <w:r>
        <w:rPr/>
        <w:t>and</w:t>
      </w:r>
      <w:r>
        <w:rPr>
          <w:w w:val="99"/>
        </w:rPr>
        <w:t> </w:t>
      </w:r>
      <w:r>
        <w:rPr/>
        <w:t>focus on prevention. Victorians need to be educated and encouraged to make healthier</w:t>
      </w:r>
      <w:r>
        <w:rPr>
          <w:spacing w:val="-21"/>
        </w:rPr>
        <w:t> </w:t>
      </w:r>
      <w:r>
        <w:rPr/>
        <w:t>lifestyle</w:t>
      </w:r>
      <w:r>
        <w:rPr>
          <w:w w:val="99"/>
        </w:rPr>
        <w:t> </w:t>
      </w:r>
      <w:r>
        <w:rPr/>
        <w:t>decisions, and the Government needs to ensure that the environments within which we live are</w:t>
      </w:r>
      <w:r>
        <w:rPr>
          <w:spacing w:val="-25"/>
        </w:rPr>
        <w:t> </w:t>
      </w:r>
      <w:r>
        <w:rPr/>
        <w:t>as</w:t>
      </w:r>
      <w:r>
        <w:rPr>
          <w:w w:val="99"/>
        </w:rPr>
        <w:t> </w:t>
      </w:r>
      <w:r>
        <w:rPr/>
        <w:t>healthy as</w:t>
      </w:r>
      <w:r>
        <w:rPr>
          <w:spacing w:val="-7"/>
        </w:rPr>
        <w:t> </w:t>
      </w:r>
      <w:r>
        <w:rPr/>
        <w:t>possible.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541"/>
        <w:jc w:val="left"/>
      </w:pPr>
      <w:r>
        <w:rPr/>
        <w:t>AMA Victoria is pleased to see that the proposal for a Health Conservation Zone</w:t>
      </w:r>
      <w:r>
        <w:rPr>
          <w:spacing w:val="-16"/>
        </w:rPr>
        <w:t> </w:t>
      </w:r>
      <w:r>
        <w:rPr/>
        <w:t>includes</w:t>
      </w:r>
      <w:r>
        <w:rPr>
          <w:w w:val="99"/>
        </w:rPr>
        <w:t> </w:t>
      </w:r>
      <w:r>
        <w:rPr/>
        <w:t>consideration of the environmental and social factors that contribute to both physical and</w:t>
      </w:r>
      <w:r>
        <w:rPr>
          <w:spacing w:val="-15"/>
        </w:rPr>
        <w:t> </w:t>
      </w:r>
      <w:r>
        <w:rPr/>
        <w:t>mental</w:t>
      </w:r>
      <w:r>
        <w:rPr>
          <w:w w:val="99"/>
        </w:rPr>
        <w:t> </w:t>
      </w:r>
      <w:r>
        <w:rPr/>
        <w:t>health and wellbeing. Both these factors are vital in ensuring healthy communities. Poor</w:t>
      </w:r>
      <w:r>
        <w:rPr>
          <w:spacing w:val="-15"/>
        </w:rPr>
        <w:t> </w:t>
      </w:r>
      <w:r>
        <w:rPr/>
        <w:t>physical</w:t>
      </w:r>
      <w:r>
        <w:rPr>
          <w:w w:val="99"/>
        </w:rPr>
        <w:t> </w:t>
      </w:r>
      <w:r>
        <w:rPr/>
        <w:t>health can adversely impact on mental health, and vice versa, just as environmental and social</w:t>
      </w:r>
      <w:r>
        <w:rPr>
          <w:spacing w:val="-32"/>
        </w:rPr>
        <w:t> </w:t>
      </w:r>
      <w:r>
        <w:rPr/>
        <w:t>issues</w:t>
      </w:r>
      <w:r>
        <w:rPr>
          <w:w w:val="99"/>
        </w:rPr>
        <w:t> </w:t>
      </w:r>
      <w:r>
        <w:rPr/>
        <w:t>can impact on the physical and mental health of the</w:t>
      </w:r>
      <w:r>
        <w:rPr>
          <w:spacing w:val="-21"/>
        </w:rPr>
        <w:t> </w:t>
      </w:r>
      <w:r>
        <w:rPr/>
        <w:t>community.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518"/>
        <w:jc w:val="left"/>
      </w:pPr>
      <w:r>
        <w:rPr/>
        <w:t>Before designating the Latrobe Valley as a Health Conservation Zone, the Victorian</w:t>
      </w:r>
      <w:r>
        <w:rPr>
          <w:spacing w:val="-13"/>
        </w:rPr>
        <w:t> </w:t>
      </w:r>
      <w:r>
        <w:rPr/>
        <w:t>Government</w:t>
      </w:r>
      <w:r>
        <w:rPr>
          <w:w w:val="99"/>
        </w:rPr>
        <w:t> </w:t>
      </w:r>
      <w:r>
        <w:rPr/>
        <w:t>should carefully consider the specific goals and objectives of the change and how they will</w:t>
      </w:r>
      <w:r>
        <w:rPr>
          <w:spacing w:val="-21"/>
        </w:rPr>
        <w:t> </w:t>
      </w:r>
      <w:r>
        <w:rPr/>
        <w:t>be</w:t>
      </w:r>
      <w:r>
        <w:rPr>
          <w:w w:val="99"/>
        </w:rPr>
        <w:t> </w:t>
      </w:r>
      <w:r>
        <w:rPr/>
        <w:t>achieved. Such a change will require proper assessment and planning, as well as sufficient</w:t>
      </w:r>
      <w:r>
        <w:rPr>
          <w:spacing w:val="-30"/>
        </w:rPr>
        <w:t> </w:t>
      </w:r>
      <w:r>
        <w:rPr/>
        <w:t>allocation</w:t>
      </w:r>
      <w:r>
        <w:rPr>
          <w:w w:val="99"/>
        </w:rPr>
        <w:t> </w:t>
      </w:r>
      <w:r>
        <w:rPr/>
        <w:t>of</w:t>
      </w:r>
      <w:r>
        <w:rPr>
          <w:spacing w:val="-4"/>
        </w:rPr>
        <w:t> </w:t>
      </w:r>
      <w:r>
        <w:rPr/>
        <w:t>resources.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541"/>
        <w:jc w:val="left"/>
      </w:pPr>
      <w:r>
        <w:rPr/>
        <w:t>There are already multiple layers of service delivery that aim to improve the health and wellbeing</w:t>
      </w:r>
      <w:r>
        <w:rPr>
          <w:spacing w:val="-30"/>
        </w:rPr>
        <w:t> </w:t>
      </w:r>
      <w:r>
        <w:rPr/>
        <w:t>of</w:t>
      </w:r>
      <w:r>
        <w:rPr>
          <w:w w:val="99"/>
        </w:rPr>
        <w:t> </w:t>
      </w:r>
      <w:r>
        <w:rPr/>
        <w:t>the community. The Government needs to consider carefully how a designated Health</w:t>
      </w:r>
      <w:r>
        <w:rPr>
          <w:spacing w:val="-25"/>
        </w:rPr>
        <w:t> </w:t>
      </w:r>
      <w:r>
        <w:rPr/>
        <w:t>Conservation</w:t>
      </w:r>
      <w:r>
        <w:rPr>
          <w:w w:val="99"/>
        </w:rPr>
        <w:t> </w:t>
      </w:r>
      <w:r>
        <w:rPr/>
        <w:t>Zone would work with existing health and wellbeing strategies. Efforts and resources will</w:t>
      </w:r>
      <w:r>
        <w:rPr>
          <w:spacing w:val="-12"/>
        </w:rPr>
        <w:t> </w:t>
      </w:r>
      <w:r>
        <w:rPr/>
        <w:t>be</w:t>
      </w:r>
      <w:r>
        <w:rPr>
          <w:w w:val="99"/>
        </w:rPr>
        <w:t> </w:t>
      </w:r>
      <w:r>
        <w:rPr/>
        <w:t>duplicated, leading to significant waste, if this kind of policy is imposed over the top of</w:t>
      </w:r>
      <w:r>
        <w:rPr>
          <w:spacing w:val="-19"/>
        </w:rPr>
        <w:t> </w:t>
      </w:r>
      <w:r>
        <w:rPr/>
        <w:t>existing</w:t>
      </w:r>
      <w:r>
        <w:rPr>
          <w:w w:val="99"/>
        </w:rPr>
        <w:t> </w:t>
      </w:r>
      <w:r>
        <w:rPr/>
        <w:t>protocols and programs. If new programs contradict or compete with existing ones then it is</w:t>
      </w:r>
      <w:r>
        <w:rPr>
          <w:spacing w:val="-19"/>
        </w:rPr>
        <w:t> </w:t>
      </w:r>
      <w:r>
        <w:rPr/>
        <w:t>unlikely</w:t>
      </w:r>
      <w:r>
        <w:rPr>
          <w:w w:val="99"/>
        </w:rPr>
        <w:t> </w:t>
      </w:r>
      <w:r>
        <w:rPr/>
        <w:t>that substantial, long-term improvements will be made and the capacity of the system to support</w:t>
      </w:r>
      <w:r>
        <w:rPr>
          <w:spacing w:val="-28"/>
        </w:rPr>
        <w:t> </w:t>
      </w:r>
      <w:r>
        <w:rPr/>
        <w:t>the</w:t>
      </w:r>
      <w:r>
        <w:rPr>
          <w:w w:val="99"/>
        </w:rPr>
        <w:t> </w:t>
      </w:r>
      <w:r>
        <w:rPr/>
        <w:t>community will be</w:t>
      </w:r>
      <w:r>
        <w:rPr>
          <w:spacing w:val="-10"/>
        </w:rPr>
        <w:t> </w:t>
      </w:r>
      <w:r>
        <w:rPr/>
        <w:t>reduced.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518"/>
        <w:jc w:val="left"/>
      </w:pPr>
      <w:r>
        <w:rPr/>
        <w:t>Before implementing such a policy, the Government should carefully consider how it will interact</w:t>
      </w:r>
      <w:r>
        <w:rPr>
          <w:spacing w:val="-25"/>
        </w:rPr>
        <w:t> </w:t>
      </w:r>
      <w:r>
        <w:rPr/>
        <w:t>with</w:t>
      </w:r>
      <w:r>
        <w:rPr>
          <w:w w:val="99"/>
        </w:rPr>
        <w:t> </w:t>
      </w:r>
      <w:r>
        <w:rPr/>
        <w:t>existing services, including those operated by government, NGOs and the new Primary</w:t>
      </w:r>
      <w:r>
        <w:rPr>
          <w:spacing w:val="-16"/>
        </w:rPr>
        <w:t> </w:t>
      </w:r>
      <w:r>
        <w:rPr/>
        <w:t>Health</w:t>
      </w:r>
      <w:r>
        <w:rPr>
          <w:w w:val="99"/>
        </w:rPr>
        <w:t> </w:t>
      </w:r>
      <w:r>
        <w:rPr/>
        <w:t>Networks, and consider whether the community might be better served by improving</w:t>
      </w:r>
      <w:r>
        <w:rPr>
          <w:spacing w:val="-20"/>
        </w:rPr>
        <w:t> </w:t>
      </w:r>
      <w:r>
        <w:rPr/>
        <w:t>coordination</w:t>
      </w:r>
      <w:r>
        <w:rPr>
          <w:w w:val="99"/>
        </w:rPr>
        <w:t> </w:t>
      </w:r>
      <w:r>
        <w:rPr/>
        <w:t>between existing services rather than implementing a new</w:t>
      </w:r>
      <w:r>
        <w:rPr>
          <w:spacing w:val="-14"/>
        </w:rPr>
        <w:t> </w:t>
      </w:r>
      <w:r>
        <w:rPr/>
        <w:t>layer.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558"/>
        <w:jc w:val="left"/>
      </w:pPr>
      <w:r>
        <w:rPr/>
        <w:t>The proposal for a Health Conservation Zone provides an opportunity for the Government to</w:t>
      </w:r>
      <w:r>
        <w:rPr>
          <w:spacing w:val="-16"/>
        </w:rPr>
        <w:t> </w:t>
      </w:r>
      <w:r>
        <w:rPr/>
        <w:t>review</w:t>
      </w:r>
      <w:r>
        <w:rPr>
          <w:w w:val="99"/>
        </w:rPr>
        <w:t> </w:t>
      </w:r>
      <w:r>
        <w:rPr/>
        <w:t>and plan investment across the entire lifespan. To achieve the best results, programs need to be</w:t>
      </w:r>
      <w:r>
        <w:rPr>
          <w:spacing w:val="-22"/>
        </w:rPr>
        <w:t> </w:t>
      </w:r>
      <w:r>
        <w:rPr/>
        <w:t>put</w:t>
      </w:r>
      <w:r>
        <w:rPr>
          <w:w w:val="99"/>
        </w:rPr>
        <w:t> </w:t>
      </w:r>
      <w:r>
        <w:rPr/>
        <w:t>in place that consider all aspects </w:t>
      </w:r>
      <w:r>
        <w:rPr>
          <w:rFonts w:ascii="Arial" w:hAnsi="Arial" w:cs="Arial" w:eastAsia="Arial"/>
        </w:rPr>
        <w:t>of a person’s wellbeing, from pre</w:t>
      </w:r>
      <w:r>
        <w:rPr/>
        <w:t>-natal support to</w:t>
      </w:r>
      <w:r>
        <w:rPr>
          <w:spacing w:val="-15"/>
        </w:rPr>
        <w:t> </w:t>
      </w:r>
      <w:r>
        <w:rPr/>
        <w:t>education,</w:t>
      </w:r>
      <w:r>
        <w:rPr>
          <w:w w:val="99"/>
        </w:rPr>
        <w:t> </w:t>
      </w:r>
      <w:r>
        <w:rPr/>
        <w:t>housing, employment, mental health, food security and beyond. This process offers a</w:t>
      </w:r>
      <w:r>
        <w:rPr>
          <w:spacing w:val="-16"/>
        </w:rPr>
        <w:t> </w:t>
      </w:r>
      <w:r>
        <w:rPr/>
        <w:t>valuable</w:t>
      </w:r>
      <w:r>
        <w:rPr>
          <w:w w:val="99"/>
        </w:rPr>
        <w:t> </w:t>
      </w:r>
      <w:r>
        <w:rPr/>
        <w:t>opportunity for the Government to review current service delivery and establish a better</w:t>
      </w:r>
      <w:r>
        <w:rPr>
          <w:spacing w:val="-24"/>
        </w:rPr>
        <w:t> </w:t>
      </w:r>
      <w:r>
        <w:rPr/>
        <w:t>coordinated,</w:t>
      </w:r>
      <w:r>
        <w:rPr>
          <w:w w:val="99"/>
        </w:rPr>
        <w:t> </w:t>
      </w:r>
      <w:r>
        <w:rPr/>
        <w:t>whole of Government</w:t>
      </w:r>
      <w:r>
        <w:rPr>
          <w:spacing w:val="-9"/>
        </w:rPr>
        <w:t> </w:t>
      </w:r>
      <w:r>
        <w:rPr/>
        <w:t>response.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spacing w:line="240" w:lineRule="auto"/>
        <w:ind w:right="518"/>
        <w:jc w:val="left"/>
        <w:rPr>
          <w:b w:val="0"/>
          <w:bCs w:val="0"/>
        </w:rPr>
      </w:pPr>
      <w:r>
        <w:rPr/>
        <w:t>Latrobe Valley Health</w:t>
      </w:r>
      <w:r>
        <w:rPr>
          <w:spacing w:val="-13"/>
        </w:rPr>
        <w:t> </w:t>
      </w:r>
      <w:r>
        <w:rPr/>
        <w:t>Advocate</w:t>
      </w:r>
      <w:r>
        <w:rPr>
          <w:b w:val="0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296"/>
        <w:jc w:val="left"/>
      </w:pPr>
      <w:r>
        <w:rPr/>
        <w:t>Strong and effective leadership is vital, particularly during times of emergency. During the 2014</w:t>
      </w:r>
      <w:r>
        <w:rPr>
          <w:spacing w:val="-18"/>
        </w:rPr>
        <w:t> </w:t>
      </w:r>
      <w:r>
        <w:rPr/>
        <w:t>fire,</w:t>
      </w:r>
      <w:r>
        <w:rPr>
          <w:w w:val="99"/>
        </w:rPr>
        <w:t> </w:t>
      </w:r>
      <w:r>
        <w:rPr/>
        <w:t>many Morwell residents reported that they did not feel they received enough information and that</w:t>
      </w:r>
      <w:r>
        <w:rPr>
          <w:spacing w:val="-27"/>
        </w:rPr>
        <w:t> </w:t>
      </w:r>
      <w:r>
        <w:rPr/>
        <w:t>there</w:t>
      </w:r>
      <w:r>
        <w:rPr>
          <w:w w:val="99"/>
        </w:rPr>
        <w:t> </w:t>
      </w:r>
      <w:r>
        <w:rPr/>
        <w:t>were mixed messages about the health risks associated with the smoke that blanketed the</w:t>
      </w:r>
      <w:r>
        <w:rPr>
          <w:spacing w:val="-29"/>
        </w:rPr>
        <w:t> </w:t>
      </w:r>
      <w:r>
        <w:rPr/>
        <w:t>town.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484"/>
        <w:jc w:val="left"/>
      </w:pPr>
      <w:r>
        <w:rPr/>
        <w:t>In emergency situations, Victorians are reliant on the advice and direction of senior community</w:t>
      </w:r>
      <w:r>
        <w:rPr>
          <w:spacing w:val="-30"/>
        </w:rPr>
        <w:t> </w:t>
      </w:r>
      <w:r>
        <w:rPr/>
        <w:t>figures.</w:t>
      </w:r>
      <w:r>
        <w:rPr>
          <w:w w:val="99"/>
        </w:rPr>
        <w:t> </w:t>
      </w:r>
      <w:r>
        <w:rPr/>
        <w:t>There needs to be a strong leadership structure in place and these roles need to be</w:t>
      </w:r>
      <w:r>
        <w:rPr>
          <w:spacing w:val="2"/>
        </w:rPr>
        <w:t> </w:t>
      </w:r>
      <w:r>
        <w:rPr/>
        <w:t>properly</w:t>
      </w:r>
      <w:r>
        <w:rPr>
          <w:w w:val="99"/>
        </w:rPr>
        <w:t> </w:t>
      </w:r>
      <w:r>
        <w:rPr/>
        <w:t>supported and resourced to ensure that the people in those roles can communicate and</w:t>
      </w:r>
      <w:r>
        <w:rPr>
          <w:spacing w:val="-19"/>
        </w:rPr>
        <w:t> </w:t>
      </w:r>
      <w:r>
        <w:rPr/>
        <w:t>lead</w:t>
      </w:r>
      <w:r>
        <w:rPr>
          <w:w w:val="99"/>
        </w:rPr>
        <w:t> </w:t>
      </w:r>
      <w:r>
        <w:rPr/>
        <w:t>effectively.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558"/>
        <w:jc w:val="left"/>
      </w:pPr>
      <w:r>
        <w:rPr/>
        <w:t>There are already multiple agencies and services undertaking many of the proposed functions of</w:t>
      </w:r>
      <w:r>
        <w:rPr>
          <w:spacing w:val="-20"/>
        </w:rPr>
        <w:t> </w:t>
      </w:r>
      <w:r>
        <w:rPr/>
        <w:t>the</w:t>
      </w:r>
      <w:r>
        <w:rPr>
          <w:w w:val="99"/>
        </w:rPr>
        <w:t> </w:t>
      </w:r>
      <w:r>
        <w:rPr/>
        <w:t>Health Advocate. Health monitoring, advocacy, facilitation of better health for the community are</w:t>
      </w:r>
      <w:r>
        <w:rPr>
          <w:spacing w:val="-24"/>
        </w:rPr>
        <w:t> </w:t>
      </w:r>
      <w:r>
        <w:rPr/>
        <w:t>all</w:t>
      </w:r>
      <w:r>
        <w:rPr>
          <w:w w:val="99"/>
        </w:rPr>
        <w:t> </w:t>
      </w:r>
      <w:r>
        <w:rPr/>
        <w:t>roles undertaken by Government and other service providers in the area. These objectives may</w:t>
      </w:r>
      <w:r>
        <w:rPr>
          <w:spacing w:val="-25"/>
        </w:rPr>
        <w:t> </w:t>
      </w:r>
      <w:r>
        <w:rPr/>
        <w:t>be</w:t>
      </w:r>
      <w:r>
        <w:rPr>
          <w:w w:val="99"/>
        </w:rPr>
        <w:t> </w:t>
      </w:r>
      <w:r>
        <w:rPr/>
        <w:t>just as easily achieved by improving coordination and communication between existing agencies</w:t>
      </w:r>
      <w:r>
        <w:rPr>
          <w:spacing w:val="-26"/>
        </w:rPr>
        <w:t> </w:t>
      </w:r>
      <w:r>
        <w:rPr/>
        <w:t>and</w:t>
      </w:r>
      <w:r>
        <w:rPr>
          <w:w w:val="99"/>
        </w:rPr>
        <w:t> </w:t>
      </w:r>
      <w:r>
        <w:rPr/>
        <w:t>ensuring they are appropriately resourced to undertake these</w:t>
      </w:r>
      <w:r>
        <w:rPr>
          <w:spacing w:val="-22"/>
        </w:rPr>
        <w:t> </w:t>
      </w:r>
      <w:r>
        <w:rPr/>
        <w:t>roles.</w:t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right="558"/>
        <w:jc w:val="left"/>
      </w:pPr>
      <w:r>
        <w:rPr/>
        <w:t>For this role to be effective it must be outcomes focussed. There is no use establishing a new role</w:t>
      </w:r>
      <w:r>
        <w:rPr>
          <w:spacing w:val="-37"/>
        </w:rPr>
        <w:t> </w:t>
      </w:r>
      <w:r>
        <w:rPr/>
        <w:t>or</w:t>
      </w:r>
      <w:r>
        <w:rPr>
          <w:w w:val="99"/>
        </w:rPr>
        <w:t> </w:t>
      </w:r>
      <w:r>
        <w:rPr/>
        <w:t>body to undertake these functions if the information and work undertaken is not used to</w:t>
      </w:r>
      <w:r>
        <w:rPr>
          <w:spacing w:val="-15"/>
        </w:rPr>
        <w:t> </w:t>
      </w:r>
      <w:r>
        <w:rPr/>
        <w:t>improve</w:t>
      </w:r>
      <w:r>
        <w:rPr>
          <w:w w:val="99"/>
        </w:rPr>
        <w:t> </w:t>
      </w:r>
      <w:r>
        <w:rPr/>
        <w:t>health</w:t>
      </w:r>
      <w:r>
        <w:rPr>
          <w:spacing w:val="-3"/>
        </w:rPr>
        <w:t> </w:t>
      </w:r>
      <w:r>
        <w:rPr/>
        <w:t>outcomes.</w:t>
      </w:r>
    </w:p>
    <w:p>
      <w:pPr>
        <w:spacing w:after="0" w:line="240" w:lineRule="auto"/>
        <w:jc w:val="left"/>
        <w:sectPr>
          <w:pgSz w:w="11910" w:h="16840"/>
          <w:pgMar w:header="283" w:footer="487" w:top="1320" w:bottom="680" w:left="1300" w:right="960"/>
        </w:sectPr>
      </w:pP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40" w:lineRule="auto" w:before="74"/>
        <w:ind w:right="518"/>
        <w:jc w:val="left"/>
      </w:pPr>
      <w:r>
        <w:rPr/>
        <w:t>AMA Victoria supports actions that will improve the health and wellbeing of the Latrobe</w:t>
      </w:r>
      <w:r>
        <w:rPr>
          <w:spacing w:val="-13"/>
        </w:rPr>
        <w:t> </w:t>
      </w:r>
      <w:r>
        <w:rPr/>
        <w:t>Valley</w:t>
      </w:r>
      <w:r>
        <w:rPr>
          <w:w w:val="99"/>
        </w:rPr>
        <w:t> </w:t>
      </w:r>
      <w:r>
        <w:rPr/>
        <w:t>community but urges the Victorian Government to undertake careful planning and evaluation</w:t>
      </w:r>
      <w:r>
        <w:rPr>
          <w:spacing w:val="-23"/>
        </w:rPr>
        <w:t> </w:t>
      </w:r>
      <w:r>
        <w:rPr/>
        <w:t>before</w:t>
      </w:r>
      <w:r>
        <w:rPr>
          <w:w w:val="99"/>
        </w:rPr>
        <w:t> </w:t>
      </w:r>
      <w:r>
        <w:rPr/>
        <w:t>simply implementing additional layers of</w:t>
      </w:r>
      <w:r>
        <w:rPr>
          <w:spacing w:val="-19"/>
        </w:rPr>
        <w:t> </w:t>
      </w:r>
      <w:r>
        <w:rPr/>
        <w:t>bureaucracy.</w:t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right="508"/>
        <w:jc w:val="left"/>
      </w:pPr>
      <w:r>
        <w:rPr/>
        <w:t>While the current review is focussed on the ongoing health outcomes of the Latrobe Valley</w:t>
      </w:r>
      <w:r>
        <w:rPr>
          <w:spacing w:val="-20"/>
        </w:rPr>
        <w:t> </w:t>
      </w:r>
      <w:r>
        <w:rPr/>
        <w:t>community</w:t>
      </w:r>
      <w:r>
        <w:rPr>
          <w:w w:val="99"/>
        </w:rPr>
        <w:t> </w:t>
      </w:r>
      <w:r>
        <w:rPr/>
        <w:t>this process will provide a good opportunity for the Government to review how it responds to</w:t>
      </w:r>
      <w:r>
        <w:rPr>
          <w:spacing w:val="11"/>
        </w:rPr>
        <w:t> </w:t>
      </w:r>
      <w:r>
        <w:rPr/>
        <w:t>the</w:t>
      </w:r>
      <w:r>
        <w:rPr>
          <w:w w:val="99"/>
        </w:rPr>
        <w:t> </w:t>
      </w:r>
      <w:r>
        <w:rPr/>
        <w:t>health needs of rural and regional communities in</w:t>
      </w:r>
      <w:r>
        <w:rPr>
          <w:spacing w:val="-20"/>
        </w:rPr>
        <w:t> </w:t>
      </w:r>
      <w:r>
        <w:rPr/>
        <w:t>general.</w:t>
      </w:r>
    </w:p>
    <w:sectPr>
      <w:pgSz w:w="11910" w:h="16840"/>
      <w:pgMar w:header="283" w:footer="487" w:top="1320" w:bottom="680" w:left="13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8.209991pt;margin-top:806.570801pt;width:58.95pt;height:11pt;mso-position-horizontal-relative:page;mso-position-vertical-relative:page;z-index:-3640" type="#_x0000_t202" filled="false" stroked="false">
          <v:textbox inset="0,0,0,0">
            <w:txbxContent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Verdana" w:hAnsi="Verdana" w:cs="Verdana" w:eastAsia="Verdana"/>
                    <w:sz w:val="18"/>
                    <w:szCs w:val="18"/>
                  </w:rPr>
                </w:pPr>
                <w:r>
                  <w:rPr>
                    <w:rFonts w:ascii="Verdana"/>
                    <w:b/>
                    <w:w w:val="100"/>
                    <w:sz w:val="18"/>
                  </w:rPr>
                  <w:t>Pa</w:t>
                </w:r>
                <w:r>
                  <w:rPr>
                    <w:rFonts w:ascii="Verdana"/>
                    <w:b/>
                    <w:spacing w:val="-2"/>
                    <w:w w:val="100"/>
                    <w:sz w:val="18"/>
                  </w:rPr>
                  <w:t>g</w:t>
                </w:r>
                <w:r>
                  <w:rPr>
                    <w:rFonts w:ascii="Verdana"/>
                    <w:b/>
                    <w:w w:val="100"/>
                    <w:sz w:val="18"/>
                  </w:rPr>
                  <w:t>e</w:t>
                </w:r>
                <w:r>
                  <w:rPr>
                    <w:rFonts w:ascii="Verdana"/>
                    <w:b/>
                    <w:spacing w:val="1"/>
                    <w:w w:val="100"/>
                    <w:sz w:val="18"/>
                  </w:rPr>
                  <w:t> </w:t>
                </w:r>
                <w:r>
                  <w:rPr>
                    <w:rFonts w:ascii="Verdana"/>
                    <w:b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Verdana"/>
                    <w:b/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Verdana"/>
                    <w:b/>
                    <w:w w:val="99"/>
                    <w:sz w:val="18"/>
                  </w:rPr>
                  <w:t> </w:t>
                </w:r>
                <w:r>
                  <w:rPr>
                    <w:rFonts w:ascii="Verdana"/>
                    <w:b/>
                    <w:spacing w:val="-2"/>
                    <w:w w:val="99"/>
                    <w:sz w:val="18"/>
                  </w:rPr>
                  <w:t>o</w:t>
                </w:r>
                <w:r>
                  <w:rPr>
                    <w:rFonts w:ascii="Verdana"/>
                    <w:b/>
                    <w:w w:val="100"/>
                    <w:sz w:val="18"/>
                  </w:rPr>
                  <w:t>f</w:t>
                </w:r>
                <w:r>
                  <w:rPr>
                    <w:rFonts w:ascii="Verdana"/>
                    <w:b/>
                    <w:spacing w:val="1"/>
                    <w:sz w:val="18"/>
                  </w:rPr>
                  <w:t> </w:t>
                </w:r>
                <w:r>
                  <w:rPr>
                    <w:rFonts w:ascii="Verdana"/>
                    <w:b/>
                    <w:sz w:val="18"/>
                  </w:rPr>
                  <w:t>3</w:t>
                </w:r>
                <w:r>
                  <w:rPr>
                    <w:rFonts w:ascii="Verdana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70.900002pt;margin-top:14.149982pt;width:470.65pt;height:52.45pt;mso-position-horizontal-relative:page;mso-position-vertical-relative:page;z-index:-3664" type="#_x0000_t75" stroked="fals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08BD0CD94E94CA6CFF9809E1C1F16" ma:contentTypeVersion="0" ma:contentTypeDescription="Create a new document." ma:contentTypeScope="" ma:versionID="154727199fd461d5b3e672cdf187db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6B27B9-7086-4C06-A074-34995398834E}"/>
</file>

<file path=customXml/itemProps2.xml><?xml version="1.0" encoding="utf-8"?>
<ds:datastoreItem xmlns:ds="http://schemas.openxmlformats.org/officeDocument/2006/customXml" ds:itemID="{CB8CB834-8E66-4956-97F1-4A864CC7AB22}"/>
</file>

<file path=customXml/itemProps3.xml><?xml version="1.0" encoding="utf-8"?>
<ds:datastoreItem xmlns:ds="http://schemas.openxmlformats.org/officeDocument/2006/customXml" ds:itemID="{FBC350C0-B3A4-40B1-AAC4-277A6EA2DC05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Medicare Locals Profiles</dc:title>
  <dc:creator>Katherinew</dc:creator>
  <dcterms:created xsi:type="dcterms:W3CDTF">2015-08-12T09:21:59Z</dcterms:created>
  <dcterms:modified xsi:type="dcterms:W3CDTF">2015-08-12T09:21:59Z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2015-08-11T00:00:00Z</vt:filetime>
  </property>
  <property fmtid="{D5CDD505-2E9C-101B-9397-08002B2CF9AE}" pid="5" name="ContentTypeId">
    <vt:lpwstr>0x010100F3008BD0CD94E94CA6CFF9809E1C1F16</vt:lpwstr>
  </property>
</Properties>
</file>