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679" w:val="left" w:leader="none"/>
        </w:tabs>
        <w:spacing w:before="55"/>
        <w:ind w:left="150" w:right="3203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From:</w:t>
        <w:tab/>
      </w:r>
      <w:r>
        <w:rPr>
          <w:rFonts w:ascii="Tahoma"/>
          <w:color w:val="0000FF"/>
          <w:sz w:val="15"/>
        </w:rPr>
      </w:r>
      <w:hyperlink r:id="rId5">
        <w:r>
          <w:rPr>
            <w:rFonts w:ascii="Tahoma"/>
            <w:color w:val="0000FF"/>
            <w:sz w:val="15"/>
            <w:u w:val="single" w:color="0000FF"/>
          </w:rPr>
          <w:t>Hazelwood Mine Fire Inquiry</w:t>
        </w:r>
        <w:r>
          <w:rPr>
            <w:rFonts w:ascii="Tahoma"/>
            <w:color w:val="0000FF"/>
            <w:sz w:val="15"/>
          </w:rPr>
        </w:r>
        <w:r>
          <w:rPr>
            <w:rFonts w:ascii="Tahoma"/>
            <w:sz w:val="15"/>
          </w:rPr>
        </w:r>
      </w:hyperlink>
    </w:p>
    <w:p>
      <w:pPr>
        <w:tabs>
          <w:tab w:pos="1679" w:val="left" w:leader="none"/>
        </w:tabs>
        <w:spacing w:before="29"/>
        <w:ind w:left="150" w:right="3203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To:</w:t>
        <w:tab/>
      </w:r>
      <w:r>
        <w:rPr>
          <w:rFonts w:ascii="Tahoma"/>
          <w:color w:val="0000FF"/>
          <w:sz w:val="15"/>
        </w:rPr>
      </w:r>
      <w:hyperlink r:id="rId5">
        <w:r>
          <w:rPr>
            <w:rFonts w:ascii="Tahoma"/>
            <w:color w:val="0000FF"/>
            <w:sz w:val="15"/>
            <w:u w:val="single" w:color="0000FF"/>
          </w:rPr>
          <w:t>Hazelwood Info Shared Mailbox</w:t>
        </w:r>
        <w:r>
          <w:rPr>
            <w:rFonts w:ascii="Tahoma"/>
            <w:color w:val="0000FF"/>
            <w:sz w:val="15"/>
          </w:rPr>
        </w:r>
        <w:r>
          <w:rPr>
            <w:rFonts w:ascii="Tahoma"/>
            <w:sz w:val="15"/>
          </w:rPr>
        </w:r>
      </w:hyperlink>
    </w:p>
    <w:p>
      <w:pPr>
        <w:tabs>
          <w:tab w:pos="1679" w:val="left" w:leader="none"/>
        </w:tabs>
        <w:spacing w:before="29"/>
        <w:ind w:left="150" w:right="3203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Subject:</w:t>
        <w:tab/>
      </w:r>
      <w:r>
        <w:rPr>
          <w:rFonts w:ascii="Tahoma"/>
          <w:sz w:val="15"/>
        </w:rPr>
        <w:t>Morwell Mine Fire Submission</w:t>
      </w:r>
    </w:p>
    <w:p>
      <w:pPr>
        <w:tabs>
          <w:tab w:pos="1679" w:val="left" w:leader="none"/>
        </w:tabs>
        <w:spacing w:before="29"/>
        <w:ind w:left="150" w:right="3203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Date:</w:t>
        <w:tab/>
      </w:r>
      <w:r>
        <w:rPr>
          <w:rFonts w:ascii="Tahoma"/>
          <w:sz w:val="15"/>
        </w:rPr>
        <w:t>Monday, 3 August 2015 2:49:29 PM</w:t>
      </w:r>
    </w:p>
    <w:p>
      <w:pPr>
        <w:tabs>
          <w:tab w:pos="1679" w:val="left" w:leader="none"/>
        </w:tabs>
        <w:spacing w:before="29"/>
        <w:ind w:left="150" w:right="3203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Attachments:</w:t>
        <w:tab/>
      </w:r>
      <w:r>
        <w:rPr>
          <w:rFonts w:ascii="Tahoma"/>
          <w:color w:val="0000FF"/>
          <w:sz w:val="15"/>
        </w:rPr>
      </w:r>
      <w:r>
        <w:rPr>
          <w:rFonts w:ascii="Tahoma"/>
          <w:color w:val="0000FF"/>
          <w:sz w:val="15"/>
          <w:u w:val="single" w:color="0000FF"/>
        </w:rPr>
        <w:t>PHAAVic_Hazelwood-Inquiry2_sub_20150727.docx</w:t>
      </w:r>
      <w:r>
        <w:rPr>
          <w:rFonts w:ascii="Tahoma"/>
          <w:color w:val="0000FF"/>
          <w:sz w:val="15"/>
        </w:rPr>
      </w:r>
      <w:r>
        <w:rPr>
          <w:rFonts w:ascii="Tahoma"/>
          <w:sz w:val="15"/>
        </w:rPr>
      </w:r>
    </w:p>
    <w:p>
      <w:pPr>
        <w:spacing w:line="240" w:lineRule="auto" w:before="4"/>
        <w:rPr>
          <w:rFonts w:ascii="Tahoma" w:hAnsi="Tahoma" w:cs="Tahoma" w:eastAsia="Tahoma"/>
          <w:sz w:val="12"/>
          <w:szCs w:val="12"/>
        </w:rPr>
      </w:pPr>
    </w:p>
    <w:p>
      <w:pPr>
        <w:spacing w:line="30" w:lineRule="exact"/>
        <w:ind w:left="105" w:right="0" w:firstLine="0"/>
        <w:rPr>
          <w:rFonts w:ascii="Tahoma" w:hAnsi="Tahoma" w:cs="Tahoma" w:eastAsia="Tahoma"/>
          <w:sz w:val="3"/>
          <w:szCs w:val="3"/>
        </w:rPr>
      </w:pPr>
      <w:r>
        <w:rPr>
          <w:rFonts w:ascii="Tahoma" w:hAnsi="Tahoma" w:cs="Tahoma" w:eastAsia="Tahoma"/>
          <w:position w:val="0"/>
          <w:sz w:val="3"/>
          <w:szCs w:val="3"/>
        </w:rPr>
        <w:pict>
          <v:group style="width:441.75pt;height:1.5pt;mso-position-horizontal-relative:char;mso-position-vertical-relative:line" coordorigin="0,0" coordsize="8835,30">
            <v:group style="position:absolute;left:15;top:15;width:8805;height:2" coordorigin="15,15" coordsize="8805,2">
              <v:shape style="position:absolute;left:15;top:15;width:8805;height:2" coordorigin="15,15" coordsize="8805,0" path="m15,15l8820,15e" filled="false" stroked="true" strokeweight="1.5pt" strokecolor="#818181">
                <v:path arrowok="t"/>
              </v:shape>
            </v:group>
            <v:group style="position:absolute;left:15;top:8;width:8805;height:2" coordorigin="15,8" coordsize="8805,2">
              <v:shape style="position:absolute;left:15;top:8;width:8805;height:2" coordorigin="15,8" coordsize="8805,0" path="m15,8l8820,8e" filled="false" stroked="true" strokeweight=".75pt" strokecolor="#818181">
                <v:path arrowok="t"/>
              </v:shape>
            </v:group>
            <v:group style="position:absolute;left:15;top:23;width:8805;height:2" coordorigin="15,23" coordsize="8805,2">
              <v:shape style="position:absolute;left:15;top:23;width:8805;height:2" coordorigin="15,23" coordsize="8805,0" path="m15,23l8820,23e" filled="false" stroked="true" strokeweight=".75pt" strokecolor="#818181">
                <v:path arrowok="t"/>
              </v:shape>
            </v:group>
            <v:group style="position:absolute;left:15;top:0;width:15;height:30" coordorigin="15,0" coordsize="15,30">
              <v:shape style="position:absolute;left:15;top:0;width:15;height:30" coordorigin="15,0" coordsize="15,30" path="m15,0l15,30,30,15,15,0xe" filled="true" fillcolor="#818181" stroked="false">
                <v:path arrowok="t"/>
                <v:fill type="solid"/>
              </v:shape>
            </v:group>
            <v:group style="position:absolute;left:8805;top:0;width:15;height:30" coordorigin="8805,0" coordsize="15,30">
              <v:shape style="position:absolute;left:8805;top:0;width:15;height:30" coordorigin="8805,0" coordsize="15,30" path="m8820,0l8805,15,8820,30,8820,0xe" filled="true" fillcolor="#818181" stroked="false">
                <v:path arrowok="t"/>
                <v:fill type="solid"/>
              </v:shape>
            </v:group>
          </v:group>
        </w:pict>
      </w:r>
      <w:r>
        <w:rPr>
          <w:rFonts w:ascii="Tahoma" w:hAnsi="Tahoma" w:cs="Tahoma" w:eastAsia="Tahoma"/>
          <w:position w:val="0"/>
          <w:sz w:val="3"/>
          <w:szCs w:val="3"/>
        </w:rPr>
      </w:r>
    </w:p>
    <w:p>
      <w:pPr>
        <w:spacing w:line="240" w:lineRule="auto" w:before="11"/>
        <w:rPr>
          <w:rFonts w:ascii="Tahoma" w:hAnsi="Tahoma" w:cs="Tahoma" w:eastAsia="Tahoma"/>
          <w:sz w:val="25"/>
          <w:szCs w:val="25"/>
        </w:rPr>
      </w:pPr>
    </w:p>
    <w:p>
      <w:pPr>
        <w:spacing w:line="528" w:lineRule="auto" w:before="79"/>
        <w:ind w:left="120" w:right="7356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sz w:val="19"/>
        </w:rPr>
        <w:t>Title:</w:t>
      </w:r>
      <w:r>
        <w:rPr>
          <w:rFonts w:ascii="Times New Roman"/>
          <w:spacing w:val="-7"/>
          <w:w w:val="105"/>
          <w:sz w:val="19"/>
        </w:rPr>
        <w:t> </w:t>
      </w:r>
      <w:r>
        <w:rPr>
          <w:rFonts w:ascii="Times New Roman"/>
          <w:w w:val="105"/>
          <w:sz w:val="19"/>
        </w:rPr>
        <w:t>President</w:t>
      </w:r>
      <w:r>
        <w:rPr>
          <w:rFonts w:ascii="Times New Roman"/>
          <w:w w:val="102"/>
          <w:sz w:val="19"/>
        </w:rPr>
        <w:t> </w:t>
      </w:r>
      <w:r>
        <w:rPr>
          <w:rFonts w:ascii="Times New Roman"/>
          <w:w w:val="105"/>
          <w:sz w:val="19"/>
        </w:rPr>
        <w:t>First Name:</w:t>
      </w:r>
      <w:r>
        <w:rPr>
          <w:rFonts w:ascii="Times New Roman"/>
          <w:spacing w:val="-33"/>
          <w:w w:val="105"/>
          <w:sz w:val="19"/>
        </w:rPr>
        <w:t> </w:t>
      </w:r>
      <w:r>
        <w:rPr>
          <w:rFonts w:ascii="Times New Roman"/>
          <w:w w:val="105"/>
          <w:sz w:val="19"/>
        </w:rPr>
        <w:t>Brian</w:t>
      </w:r>
      <w:r>
        <w:rPr>
          <w:rFonts w:ascii="Times New Roman"/>
          <w:sz w:val="19"/>
        </w:rPr>
      </w:r>
    </w:p>
    <w:p>
      <w:pPr>
        <w:spacing w:before="9"/>
        <w:ind w:left="120" w:right="3203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z w:val="19"/>
        </w:rPr>
        <w:t>Surname:</w:t>
      </w:r>
      <w:r>
        <w:rPr>
          <w:rFonts w:ascii="Times New Roman"/>
          <w:spacing w:val="44"/>
          <w:sz w:val="19"/>
        </w:rPr>
        <w:t> </w:t>
      </w:r>
      <w:r>
        <w:rPr>
          <w:rFonts w:ascii="Times New Roman"/>
          <w:sz w:val="19"/>
        </w:rPr>
        <w:t>Vandenberg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64" w:lineRule="auto" w:before="0"/>
        <w:ind w:left="120" w:right="3203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sz w:val="19"/>
        </w:rPr>
        <w:t>Organisation</w:t>
      </w:r>
      <w:r>
        <w:rPr>
          <w:rFonts w:ascii="Times New Roman"/>
          <w:spacing w:val="-21"/>
          <w:w w:val="105"/>
          <w:sz w:val="19"/>
        </w:rPr>
        <w:t> </w:t>
      </w:r>
      <w:r>
        <w:rPr>
          <w:rFonts w:ascii="Times New Roman"/>
          <w:w w:val="105"/>
          <w:sz w:val="19"/>
        </w:rPr>
        <w:t>represented</w:t>
      </w:r>
      <w:r>
        <w:rPr>
          <w:rFonts w:ascii="Times New Roman"/>
          <w:spacing w:val="-21"/>
          <w:w w:val="105"/>
          <w:sz w:val="19"/>
        </w:rPr>
        <w:t> </w:t>
      </w:r>
      <w:r>
        <w:rPr>
          <w:rFonts w:ascii="Times New Roman"/>
          <w:w w:val="105"/>
          <w:sz w:val="19"/>
        </w:rPr>
        <w:t>(if</w:t>
      </w:r>
      <w:r>
        <w:rPr>
          <w:rFonts w:ascii="Times New Roman"/>
          <w:spacing w:val="-21"/>
          <w:w w:val="105"/>
          <w:sz w:val="19"/>
        </w:rPr>
        <w:t> </w:t>
      </w:r>
      <w:r>
        <w:rPr>
          <w:rFonts w:ascii="Times New Roman"/>
          <w:w w:val="105"/>
          <w:sz w:val="19"/>
        </w:rPr>
        <w:t>applicable):</w:t>
      </w:r>
      <w:r>
        <w:rPr>
          <w:rFonts w:ascii="Times New Roman"/>
          <w:spacing w:val="-21"/>
          <w:w w:val="105"/>
          <w:sz w:val="19"/>
        </w:rPr>
        <w:t> </w:t>
      </w:r>
      <w:r>
        <w:rPr>
          <w:rFonts w:ascii="Times New Roman"/>
          <w:w w:val="105"/>
          <w:sz w:val="19"/>
        </w:rPr>
        <w:t>Public</w:t>
      </w:r>
      <w:r>
        <w:rPr>
          <w:rFonts w:ascii="Times New Roman"/>
          <w:spacing w:val="-21"/>
          <w:w w:val="105"/>
          <w:sz w:val="19"/>
        </w:rPr>
        <w:t> </w:t>
      </w:r>
      <w:r>
        <w:rPr>
          <w:rFonts w:ascii="Times New Roman"/>
          <w:w w:val="105"/>
          <w:sz w:val="19"/>
        </w:rPr>
        <w:t>Health</w:t>
      </w:r>
      <w:r>
        <w:rPr>
          <w:rFonts w:ascii="Times New Roman"/>
          <w:spacing w:val="-21"/>
          <w:w w:val="105"/>
          <w:sz w:val="19"/>
        </w:rPr>
        <w:t> </w:t>
      </w:r>
      <w:r>
        <w:rPr>
          <w:rFonts w:ascii="Times New Roman"/>
          <w:w w:val="105"/>
          <w:sz w:val="19"/>
        </w:rPr>
        <w:t>Association</w:t>
      </w:r>
      <w:r>
        <w:rPr>
          <w:rFonts w:ascii="Times New Roman"/>
          <w:w w:val="102"/>
          <w:sz w:val="19"/>
        </w:rPr>
        <w:t> </w:t>
      </w:r>
      <w:r>
        <w:rPr>
          <w:rFonts w:ascii="Times New Roman"/>
          <w:w w:val="105"/>
          <w:sz w:val="19"/>
        </w:rPr>
        <w:t>Australia</w:t>
      </w:r>
      <w:r>
        <w:rPr>
          <w:rFonts w:ascii="Times New Roman"/>
          <w:spacing w:val="-27"/>
          <w:w w:val="105"/>
          <w:sz w:val="19"/>
        </w:rPr>
        <w:t> </w:t>
      </w:r>
      <w:r>
        <w:rPr>
          <w:rFonts w:ascii="Times New Roman"/>
          <w:w w:val="105"/>
          <w:sz w:val="19"/>
        </w:rPr>
        <w:t>(Victorian</w:t>
      </w:r>
      <w:r>
        <w:rPr>
          <w:rFonts w:ascii="Times New Roman"/>
          <w:spacing w:val="-27"/>
          <w:w w:val="105"/>
          <w:sz w:val="19"/>
        </w:rPr>
        <w:t> </w:t>
      </w:r>
      <w:r>
        <w:rPr>
          <w:rFonts w:ascii="Times New Roman"/>
          <w:w w:val="105"/>
          <w:sz w:val="19"/>
        </w:rPr>
        <w:t>Branch)</w:t>
      </w:r>
      <w:r>
        <w:rPr>
          <w:rFonts w:ascii="Times New Roman"/>
          <w:sz w:val="19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20" w:right="3203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sz w:val="19"/>
        </w:rPr>
        <w:t>Email</w:t>
      </w:r>
      <w:r>
        <w:rPr>
          <w:rFonts w:ascii="Times New Roman"/>
          <w:spacing w:val="-34"/>
          <w:w w:val="105"/>
          <w:sz w:val="19"/>
        </w:rPr>
        <w:t> </w:t>
      </w:r>
      <w:r>
        <w:rPr>
          <w:rFonts w:ascii="Times New Roman"/>
          <w:w w:val="105"/>
          <w:sz w:val="19"/>
        </w:rPr>
        <w:t>address:</w:t>
      </w:r>
      <w:r>
        <w:rPr>
          <w:rFonts w:ascii="Times New Roman"/>
          <w:spacing w:val="-34"/>
          <w:w w:val="105"/>
          <w:sz w:val="19"/>
        </w:rPr>
        <w:t> </w:t>
      </w:r>
      <w:hyperlink r:id="rId6">
        <w:r>
          <w:rPr>
            <w:rFonts w:ascii="Times New Roman"/>
            <w:w w:val="105"/>
            <w:sz w:val="19"/>
          </w:rPr>
          <w:t>phaa.vic@gmail.com</w:t>
        </w:r>
        <w:r>
          <w:rPr>
            <w:rFonts w:ascii="Times New Roman"/>
            <w:sz w:val="19"/>
          </w:rPr>
        </w:r>
      </w:hyperlink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64" w:lineRule="auto" w:before="0"/>
        <w:ind w:left="120" w:right="3203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sz w:val="19"/>
        </w:rPr>
        <w:t>Content</w:t>
      </w:r>
      <w:r>
        <w:rPr>
          <w:rFonts w:ascii="Times New Roman"/>
          <w:spacing w:val="-14"/>
          <w:w w:val="105"/>
          <w:sz w:val="19"/>
        </w:rPr>
        <w:t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14"/>
          <w:w w:val="105"/>
          <w:sz w:val="19"/>
        </w:rPr>
        <w:t> </w:t>
      </w:r>
      <w:r>
        <w:rPr>
          <w:rFonts w:ascii="Times New Roman"/>
          <w:w w:val="105"/>
          <w:sz w:val="19"/>
        </w:rPr>
        <w:t>submission</w:t>
      </w:r>
      <w:r>
        <w:rPr>
          <w:rFonts w:ascii="Times New Roman"/>
          <w:spacing w:val="-14"/>
          <w:w w:val="105"/>
          <w:sz w:val="19"/>
        </w:rPr>
        <w:t> </w:t>
      </w:r>
      <w:r>
        <w:rPr>
          <w:rFonts w:ascii="Times New Roman"/>
          <w:w w:val="105"/>
          <w:sz w:val="19"/>
        </w:rPr>
        <w:t>(you</w:t>
      </w:r>
      <w:r>
        <w:rPr>
          <w:rFonts w:ascii="Times New Roman"/>
          <w:spacing w:val="-14"/>
          <w:w w:val="105"/>
          <w:sz w:val="19"/>
        </w:rPr>
        <w:t> </w:t>
      </w:r>
      <w:r>
        <w:rPr>
          <w:rFonts w:ascii="Times New Roman"/>
          <w:w w:val="105"/>
          <w:sz w:val="19"/>
        </w:rPr>
        <w:t>can</w:t>
      </w:r>
      <w:r>
        <w:rPr>
          <w:rFonts w:ascii="Times New Roman"/>
          <w:spacing w:val="-14"/>
          <w:w w:val="105"/>
          <w:sz w:val="19"/>
        </w:rPr>
        <w:t> </w:t>
      </w:r>
      <w:r>
        <w:rPr>
          <w:rFonts w:ascii="Times New Roman"/>
          <w:w w:val="105"/>
          <w:sz w:val="19"/>
        </w:rPr>
        <w:t>choose</w:t>
      </w:r>
      <w:r>
        <w:rPr>
          <w:rFonts w:ascii="Times New Roman"/>
          <w:spacing w:val="-14"/>
          <w:w w:val="105"/>
          <w:sz w:val="19"/>
        </w:rPr>
        <w:t> </w:t>
      </w:r>
      <w:r>
        <w:rPr>
          <w:rFonts w:ascii="Times New Roman"/>
          <w:w w:val="105"/>
          <w:sz w:val="19"/>
        </w:rPr>
        <w:t>multiple):</w:t>
      </w:r>
      <w:r>
        <w:rPr>
          <w:rFonts w:ascii="Times New Roman"/>
          <w:spacing w:val="22"/>
          <w:w w:val="105"/>
          <w:sz w:val="19"/>
        </w:rPr>
        <w:t> </w:t>
      </w:r>
      <w:r>
        <w:rPr>
          <w:rFonts w:ascii="Times New Roman"/>
          <w:w w:val="105"/>
          <w:sz w:val="19"/>
        </w:rPr>
        <w:t>Health,</w:t>
      </w:r>
      <w:r>
        <w:rPr>
          <w:rFonts w:ascii="Times New Roman"/>
          <w:spacing w:val="-14"/>
          <w:w w:val="105"/>
          <w:sz w:val="19"/>
        </w:rPr>
        <w:t> </w:t>
      </w:r>
      <w:r>
        <w:rPr>
          <w:rFonts w:ascii="Times New Roman"/>
          <w:w w:val="105"/>
          <w:sz w:val="19"/>
        </w:rPr>
        <w:t>Latrobe</w:t>
      </w:r>
      <w:r>
        <w:rPr>
          <w:rFonts w:ascii="Times New Roman"/>
          <w:w w:val="102"/>
          <w:sz w:val="19"/>
        </w:rPr>
        <w:t> </w:t>
      </w:r>
      <w:r>
        <w:rPr>
          <w:rFonts w:ascii="Times New Roman"/>
          <w:w w:val="105"/>
          <w:sz w:val="19"/>
        </w:rPr>
        <w:t>Valley</w:t>
      </w:r>
      <w:r>
        <w:rPr>
          <w:rFonts w:ascii="Times New Roman"/>
          <w:spacing w:val="-23"/>
          <w:w w:val="105"/>
          <w:sz w:val="19"/>
        </w:rPr>
        <w:t> </w:t>
      </w:r>
      <w:r>
        <w:rPr>
          <w:rFonts w:ascii="Times New Roman"/>
          <w:w w:val="105"/>
          <w:sz w:val="19"/>
        </w:rPr>
        <w:t>Mine</w:t>
      </w:r>
      <w:r>
        <w:rPr>
          <w:rFonts w:ascii="Times New Roman"/>
          <w:sz w:val="19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64" w:lineRule="auto" w:before="0"/>
        <w:ind w:left="120" w:right="3203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05"/>
          <w:sz w:val="19"/>
          <w:szCs w:val="19"/>
        </w:rPr>
        <w:t>Please</w:t>
      </w:r>
      <w:r>
        <w:rPr>
          <w:rFonts w:ascii="Times New Roman" w:hAnsi="Times New Roman" w:cs="Times New Roman" w:eastAsia="Times New Roman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select</w:t>
      </w:r>
      <w:r>
        <w:rPr>
          <w:rFonts w:ascii="Times New Roman" w:hAnsi="Times New Roman" w:cs="Times New Roman" w:eastAsia="Times New Roman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one</w:t>
      </w:r>
      <w:r>
        <w:rPr>
          <w:rFonts w:ascii="Times New Roman" w:hAnsi="Times New Roman" w:cs="Times New Roman" w:eastAsia="Times New Roman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following</w:t>
      </w:r>
      <w:r>
        <w:rPr>
          <w:rFonts w:ascii="Times New Roman" w:hAnsi="Times New Roman" w:cs="Times New Roman" w:eastAsia="Times New Roman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options:</w:t>
      </w:r>
      <w:r>
        <w:rPr>
          <w:rFonts w:ascii="Times New Roman" w:hAnsi="Times New Roman" w:cs="Times New Roman" w:eastAsia="Times New Roman"/>
          <w:spacing w:val="-1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⁭</w:t>
      </w:r>
      <w:r>
        <w:rPr>
          <w:rFonts w:ascii="Times New Roman" w:hAnsi="Times New Roman" w:cs="Times New Roman" w:eastAsia="Times New Roman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acknowledge</w:t>
      </w:r>
      <w:r>
        <w:rPr>
          <w:rFonts w:ascii="Times New Roman" w:hAnsi="Times New Roman" w:cs="Times New Roman" w:eastAsia="Times New Roman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that</w:t>
      </w:r>
      <w:r>
        <w:rPr>
          <w:rFonts w:ascii="Times New Roman" w:hAnsi="Times New Roman" w:cs="Times New Roman" w:eastAsia="Times New Roman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my</w:t>
      </w:r>
      <w:r>
        <w:rPr>
          <w:rFonts w:ascii="Times New Roman" w:hAnsi="Times New Roman" w:cs="Times New Roman" w:eastAsia="Times New Roman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submission</w:t>
      </w:r>
      <w:r>
        <w:rPr>
          <w:rFonts w:ascii="Times New Roman" w:hAnsi="Times New Roman" w:cs="Times New Roman" w:eastAsia="Times New Roman"/>
          <w:spacing w:val="-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will</w:t>
      </w:r>
      <w:r>
        <w:rPr>
          <w:rFonts w:ascii="Times New Roman" w:hAnsi="Times New Roman" w:cs="Times New Roman" w:eastAsia="Times New Roman"/>
          <w:spacing w:val="-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be</w:t>
      </w:r>
      <w:r>
        <w:rPr>
          <w:rFonts w:ascii="Times New Roman" w:hAnsi="Times New Roman" w:cs="Times New Roman" w:eastAsia="Times New Roman"/>
          <w:spacing w:val="-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treated</w:t>
      </w:r>
      <w:r>
        <w:rPr>
          <w:rFonts w:ascii="Times New Roman" w:hAnsi="Times New Roman" w:cs="Times New Roman" w:eastAsia="Times New Roman"/>
          <w:spacing w:val="-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as</w:t>
      </w:r>
      <w:r>
        <w:rPr>
          <w:rFonts w:ascii="Times New Roman" w:hAnsi="Times New Roman" w:cs="Times New Roman" w:eastAsia="Times New Roman"/>
          <w:spacing w:val="-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spacing w:val="-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public</w:t>
      </w:r>
      <w:r>
        <w:rPr>
          <w:rFonts w:ascii="Times New Roman" w:hAnsi="Times New Roman" w:cs="Times New Roman" w:eastAsia="Times New Roman"/>
          <w:spacing w:val="-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document</w:t>
      </w:r>
      <w:r>
        <w:rPr>
          <w:rFonts w:ascii="Times New Roman" w:hAnsi="Times New Roman" w:cs="Times New Roman" w:eastAsia="Times New Roman"/>
          <w:spacing w:val="-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spacing w:val="-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may</w:t>
      </w:r>
      <w:r>
        <w:rPr>
          <w:rFonts w:ascii="Times New Roman" w:hAnsi="Times New Roman" w:cs="Times New Roman" w:eastAsia="Times New Roman"/>
          <w:spacing w:val="-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be</w:t>
      </w:r>
      <w:r>
        <w:rPr>
          <w:rFonts w:ascii="Times New Roman" w:hAnsi="Times New Roman" w:cs="Times New Roman" w:eastAsia="Times New Roman"/>
          <w:spacing w:val="-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published,</w:t>
      </w:r>
      <w:r>
        <w:rPr>
          <w:rFonts w:ascii="Times New Roman" w:hAnsi="Times New Roman" w:cs="Times New Roman" w:eastAsia="Times New Roman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quoted</w:t>
      </w:r>
      <w:r>
        <w:rPr>
          <w:rFonts w:ascii="Times New Roman" w:hAnsi="Times New Roman" w:cs="Times New Roman" w:eastAsia="Times New Roman"/>
          <w:spacing w:val="-1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or</w:t>
      </w:r>
      <w:r>
        <w:rPr>
          <w:rFonts w:ascii="Times New Roman" w:hAnsi="Times New Roman" w:cs="Times New Roman" w:eastAsia="Times New Roman"/>
          <w:spacing w:val="-1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summarised</w:t>
      </w:r>
      <w:r>
        <w:rPr>
          <w:rFonts w:ascii="Times New Roman" w:hAnsi="Times New Roman" w:cs="Times New Roman" w:eastAsia="Times New Roman"/>
          <w:spacing w:val="-1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by</w:t>
      </w:r>
      <w:r>
        <w:rPr>
          <w:rFonts w:ascii="Times New Roman" w:hAnsi="Times New Roman" w:cs="Times New Roman" w:eastAsia="Times New Roman"/>
          <w:spacing w:val="-1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spacing w:val="-1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Inquiry.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20" w:right="3203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z w:val="19"/>
        </w:rPr>
        <w:t>Upload</w:t>
      </w:r>
      <w:r>
        <w:rPr>
          <w:rFonts w:ascii="Times New Roman"/>
          <w:spacing w:val="40"/>
          <w:sz w:val="19"/>
        </w:rPr>
        <w:t> </w:t>
      </w:r>
      <w:r>
        <w:rPr>
          <w:rFonts w:ascii="Times New Roman"/>
          <w:sz w:val="19"/>
        </w:rPr>
        <w:t>Submission:</w:t>
      </w:r>
    </w:p>
    <w:p>
      <w:pPr>
        <w:spacing w:line="261" w:lineRule="auto" w:before="21"/>
        <w:ind w:left="12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0000FF"/>
          <w:w w:val="102"/>
          <w:sz w:val="19"/>
        </w:rPr>
      </w:r>
      <w:hyperlink r:id="rId7">
        <w:r>
          <w:rPr>
            <w:rFonts w:ascii="Times New Roman"/>
            <w:color w:val="0000FF"/>
            <w:sz w:val="19"/>
            <w:u w:val="single" w:color="0000FF"/>
          </w:rPr>
          <w:t>http://hazelwoodinquiry.vic.gov.au/wp-content/uploads/formidable/PHAAVic_Hazelwood-</w:t>
        </w:r>
        <w:r>
          <w:rPr>
            <w:rFonts w:ascii="Times New Roman"/>
            <w:color w:val="0000FF"/>
            <w:spacing w:val="40"/>
            <w:sz w:val="19"/>
            <w:u w:val="single" w:color="0000FF"/>
          </w:rPr>
          <w:t> </w:t>
        </w:r>
        <w:r>
          <w:rPr>
            <w:rFonts w:ascii="Times New Roman"/>
            <w:color w:val="0000FF"/>
            <w:spacing w:val="40"/>
            <w:sz w:val="19"/>
          </w:rPr>
        </w:r>
      </w:hyperlink>
      <w:r>
        <w:rPr>
          <w:rFonts w:ascii="Times New Roman"/>
          <w:color w:val="0000FF"/>
          <w:spacing w:val="40"/>
          <w:sz w:val="19"/>
        </w:rPr>
      </w:r>
      <w:hyperlink r:id="rId7">
        <w:r>
          <w:rPr>
            <w:rFonts w:ascii="Times New Roman"/>
            <w:color w:val="0000FF"/>
            <w:spacing w:val="40"/>
            <w:sz w:val="19"/>
          </w:rPr>
        </w:r>
        <w:r>
          <w:rPr>
            <w:rFonts w:ascii="Times New Roman"/>
            <w:color w:val="0000FF"/>
            <w:w w:val="105"/>
            <w:sz w:val="19"/>
            <w:u w:val="single" w:color="0000FF"/>
          </w:rPr>
          <w:t>Inquiry2_sub_20150727.docx</w:t>
        </w:r>
        <w:r>
          <w:rPr>
            <w:rFonts w:ascii="Times New Roman"/>
            <w:color w:val="0000FF"/>
            <w:w w:val="105"/>
            <w:sz w:val="19"/>
          </w:rPr>
        </w:r>
        <w:r>
          <w:rPr>
            <w:rFonts w:ascii="Times New Roman"/>
            <w:sz w:val="19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79"/>
        <w:ind w:left="120" w:right="3203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sz w:val="19"/>
        </w:rPr>
        <w:t>User</w:t>
      </w:r>
      <w:r>
        <w:rPr>
          <w:rFonts w:ascii="Times New Roman"/>
          <w:spacing w:val="-32"/>
          <w:w w:val="105"/>
          <w:sz w:val="19"/>
        </w:rPr>
        <w:t> </w:t>
      </w:r>
      <w:r>
        <w:rPr>
          <w:rFonts w:ascii="Times New Roman"/>
          <w:w w:val="105"/>
          <w:sz w:val="19"/>
        </w:rPr>
        <w:t>Information</w:t>
      </w:r>
      <w:r>
        <w:rPr>
          <w:rFonts w:ascii="Times New Roman"/>
          <w:sz w:val="19"/>
        </w:rPr>
      </w:r>
    </w:p>
    <w:p>
      <w:pPr>
        <w:spacing w:before="21"/>
        <w:ind w:left="120" w:right="3203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sz w:val="19"/>
        </w:rPr>
        <w:t>IP</w:t>
      </w:r>
      <w:r>
        <w:rPr>
          <w:rFonts w:ascii="Times New Roman"/>
          <w:spacing w:val="-24"/>
          <w:w w:val="105"/>
          <w:sz w:val="19"/>
        </w:rPr>
        <w:t> </w:t>
      </w:r>
      <w:r>
        <w:rPr>
          <w:rFonts w:ascii="Times New Roman"/>
          <w:w w:val="105"/>
          <w:sz w:val="19"/>
        </w:rPr>
        <w:t>Address:</w:t>
      </w:r>
      <w:r>
        <w:rPr>
          <w:rFonts w:ascii="Times New Roman"/>
          <w:spacing w:val="-24"/>
          <w:w w:val="105"/>
          <w:sz w:val="19"/>
        </w:rPr>
        <w:t> </w:t>
      </w:r>
      <w:r>
        <w:rPr>
          <w:rFonts w:ascii="Times New Roman"/>
          <w:w w:val="105"/>
          <w:sz w:val="19"/>
        </w:rPr>
        <w:t>27.32.153.52</w:t>
      </w:r>
      <w:r>
        <w:rPr>
          <w:rFonts w:ascii="Times New Roman"/>
          <w:sz w:val="19"/>
        </w:rPr>
      </w:r>
    </w:p>
    <w:p>
      <w:pPr>
        <w:spacing w:line="264" w:lineRule="auto" w:before="21"/>
        <w:ind w:left="120" w:right="3203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sz w:val="19"/>
        </w:rPr>
        <w:t>User-Agent</w:t>
      </w:r>
      <w:r>
        <w:rPr>
          <w:rFonts w:ascii="Times New Roman"/>
          <w:spacing w:val="-12"/>
          <w:w w:val="105"/>
          <w:sz w:val="19"/>
        </w:rPr>
        <w:t> </w:t>
      </w:r>
      <w:r>
        <w:rPr>
          <w:rFonts w:ascii="Times New Roman"/>
          <w:w w:val="105"/>
          <w:sz w:val="19"/>
        </w:rPr>
        <w:t>(Browser/OS):</w:t>
      </w:r>
      <w:r>
        <w:rPr>
          <w:rFonts w:ascii="Times New Roman"/>
          <w:spacing w:val="-12"/>
          <w:w w:val="105"/>
          <w:sz w:val="19"/>
        </w:rPr>
        <w:t> </w:t>
      </w:r>
      <w:r>
        <w:rPr>
          <w:rFonts w:ascii="Times New Roman"/>
          <w:w w:val="105"/>
          <w:sz w:val="19"/>
        </w:rPr>
        <w:t>Mozilla/5.0</w:t>
      </w:r>
      <w:r>
        <w:rPr>
          <w:rFonts w:ascii="Times New Roman"/>
          <w:spacing w:val="-12"/>
          <w:w w:val="105"/>
          <w:sz w:val="19"/>
        </w:rPr>
        <w:t> </w:t>
      </w:r>
      <w:r>
        <w:rPr>
          <w:rFonts w:ascii="Times New Roman"/>
          <w:w w:val="105"/>
          <w:sz w:val="19"/>
        </w:rPr>
        <w:t>(Macintosh;</w:t>
      </w:r>
      <w:r>
        <w:rPr>
          <w:rFonts w:ascii="Times New Roman"/>
          <w:spacing w:val="-12"/>
          <w:w w:val="105"/>
          <w:sz w:val="19"/>
        </w:rPr>
        <w:t> </w:t>
      </w:r>
      <w:r>
        <w:rPr>
          <w:rFonts w:ascii="Times New Roman"/>
          <w:w w:val="105"/>
          <w:sz w:val="19"/>
        </w:rPr>
        <w:t>Intel</w:t>
      </w:r>
      <w:r>
        <w:rPr>
          <w:rFonts w:ascii="Times New Roman"/>
          <w:spacing w:val="-12"/>
          <w:w w:val="105"/>
          <w:sz w:val="19"/>
        </w:rPr>
        <w:t> </w:t>
      </w:r>
      <w:r>
        <w:rPr>
          <w:rFonts w:ascii="Times New Roman"/>
          <w:w w:val="105"/>
          <w:sz w:val="19"/>
        </w:rPr>
        <w:t>Mac</w:t>
      </w:r>
      <w:r>
        <w:rPr>
          <w:rFonts w:ascii="Times New Roman"/>
          <w:spacing w:val="-12"/>
          <w:w w:val="105"/>
          <w:sz w:val="19"/>
        </w:rPr>
        <w:t> </w:t>
      </w:r>
      <w:r>
        <w:rPr>
          <w:rFonts w:ascii="Times New Roman"/>
          <w:w w:val="105"/>
          <w:sz w:val="19"/>
        </w:rPr>
        <w:t>OS</w:t>
      </w:r>
      <w:r>
        <w:rPr>
          <w:rFonts w:ascii="Times New Roman"/>
          <w:spacing w:val="-12"/>
          <w:w w:val="105"/>
          <w:sz w:val="19"/>
        </w:rPr>
        <w:t> </w:t>
      </w:r>
      <w:r>
        <w:rPr>
          <w:rFonts w:ascii="Times New Roman"/>
          <w:w w:val="105"/>
          <w:sz w:val="19"/>
        </w:rPr>
        <w:t>X</w:t>
      </w:r>
      <w:r>
        <w:rPr>
          <w:rFonts w:ascii="Times New Roman"/>
          <w:w w:val="102"/>
          <w:sz w:val="19"/>
        </w:rPr>
        <w:t> </w:t>
      </w:r>
      <w:r>
        <w:rPr>
          <w:rFonts w:ascii="Times New Roman"/>
          <w:w w:val="105"/>
          <w:sz w:val="19"/>
        </w:rPr>
        <w:t>10_10_4)</w:t>
      </w:r>
      <w:r>
        <w:rPr>
          <w:rFonts w:ascii="Times New Roman"/>
          <w:spacing w:val="-26"/>
          <w:w w:val="105"/>
          <w:sz w:val="19"/>
        </w:rPr>
        <w:t> </w:t>
      </w:r>
      <w:r>
        <w:rPr>
          <w:rFonts w:ascii="Times New Roman"/>
          <w:w w:val="105"/>
          <w:sz w:val="19"/>
        </w:rPr>
        <w:t>AppleWebKit/600.7.12</w:t>
      </w:r>
      <w:r>
        <w:rPr>
          <w:rFonts w:ascii="Times New Roman"/>
          <w:spacing w:val="-26"/>
          <w:w w:val="105"/>
          <w:sz w:val="19"/>
        </w:rPr>
        <w:t> </w:t>
      </w:r>
      <w:r>
        <w:rPr>
          <w:rFonts w:ascii="Times New Roman"/>
          <w:w w:val="105"/>
          <w:sz w:val="19"/>
        </w:rPr>
        <w:t>(KHTML,</w:t>
      </w:r>
      <w:r>
        <w:rPr>
          <w:rFonts w:ascii="Times New Roman"/>
          <w:spacing w:val="-26"/>
          <w:w w:val="105"/>
          <w:sz w:val="19"/>
        </w:rPr>
        <w:t> </w:t>
      </w:r>
      <w:r>
        <w:rPr>
          <w:rFonts w:ascii="Times New Roman"/>
          <w:w w:val="105"/>
          <w:sz w:val="19"/>
        </w:rPr>
        <w:t>like</w:t>
      </w:r>
      <w:r>
        <w:rPr>
          <w:rFonts w:ascii="Times New Roman"/>
          <w:spacing w:val="-26"/>
          <w:w w:val="105"/>
          <w:sz w:val="19"/>
        </w:rPr>
        <w:t> </w:t>
      </w:r>
      <w:r>
        <w:rPr>
          <w:rFonts w:ascii="Times New Roman"/>
          <w:w w:val="105"/>
          <w:sz w:val="19"/>
        </w:rPr>
        <w:t>Gecko)</w:t>
      </w:r>
      <w:r>
        <w:rPr>
          <w:rFonts w:ascii="Times New Roman"/>
          <w:spacing w:val="-26"/>
          <w:w w:val="105"/>
          <w:sz w:val="19"/>
        </w:rPr>
        <w:t> </w:t>
      </w:r>
      <w:r>
        <w:rPr>
          <w:rFonts w:ascii="Times New Roman"/>
          <w:w w:val="105"/>
          <w:sz w:val="19"/>
        </w:rPr>
        <w:t>Version/8.0.7</w:t>
      </w:r>
      <w:r>
        <w:rPr>
          <w:rFonts w:ascii="Times New Roman"/>
          <w:w w:val="102"/>
          <w:sz w:val="19"/>
        </w:rPr>
        <w:t> </w:t>
      </w:r>
      <w:r>
        <w:rPr>
          <w:rFonts w:ascii="Times New Roman"/>
          <w:w w:val="105"/>
          <w:sz w:val="19"/>
        </w:rPr>
        <w:t>Safari/600.7.12</w:t>
      </w:r>
      <w:r>
        <w:rPr>
          <w:rFonts w:ascii="Times New Roman"/>
          <w:sz w:val="19"/>
        </w:rPr>
      </w:r>
    </w:p>
    <w:p>
      <w:pPr>
        <w:spacing w:before="0"/>
        <w:ind w:left="120" w:right="3203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z w:val="19"/>
        </w:rPr>
        <w:t>Referrer:  </w:t>
      </w:r>
      <w:r>
        <w:rPr>
          <w:rFonts w:ascii="Times New Roman"/>
          <w:spacing w:val="35"/>
          <w:sz w:val="19"/>
        </w:rPr>
        <w:t> </w:t>
      </w:r>
      <w:r>
        <w:rPr>
          <w:rFonts w:ascii="Times New Roman"/>
          <w:color w:val="0000FF"/>
          <w:spacing w:val="35"/>
          <w:sz w:val="19"/>
        </w:rPr>
      </w:r>
      <w:hyperlink r:id="rId8">
        <w:r>
          <w:rPr>
            <w:rFonts w:ascii="Times New Roman"/>
            <w:color w:val="0000FF"/>
            <w:sz w:val="19"/>
            <w:u w:val="single" w:color="0000FF"/>
          </w:rPr>
          <w:t>http://hazelwoodinquiry.vic.gov.au/online-submissions/</w:t>
        </w:r>
        <w:r>
          <w:rPr>
            <w:rFonts w:ascii="Times New Roman"/>
            <w:color w:val="0000FF"/>
            <w:sz w:val="19"/>
          </w:rPr>
        </w:r>
        <w:r>
          <w:rPr>
            <w:rFonts w:ascii="Times New Roman"/>
            <w:sz w:val="19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1900" w:h="16820"/>
          <w:pgMar w:top="1180" w:bottom="280" w:left="1440" w:right="14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9.239990pt;width:540.6pt;height:828pt;mso-position-horizontal-relative:page;mso-position-vertical-relative:page;z-index:-7360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0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12"/>
                    <w:rPr>
                      <w:rFonts w:ascii="Calibri" w:hAnsi="Calibri" w:cs="Calibri" w:eastAsia="Calibri"/>
                      <w:sz w:val="34"/>
                      <w:szCs w:val="34"/>
                    </w:rPr>
                  </w:pPr>
                </w:p>
                <w:p>
                  <w:pPr>
                    <w:spacing w:before="0"/>
                    <w:ind w:left="0" w:right="708" w:firstLine="0"/>
                    <w:jc w:val="righ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z w:val="2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9.239990pt;width:540.599977pt;height:827.999972pt;mso-position-horizontal-relative:page;mso-position-vertical-relative:page;z-index:-7336" type="#_x0000_t75" stroked="false">
            <v:imagedata r:id="rId9" o:title="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63"/>
        <w:ind w:right="187"/>
        <w:jc w:val="left"/>
        <w:rPr>
          <w:b w:val="0"/>
          <w:bCs w:val="0"/>
        </w:rPr>
      </w:pPr>
      <w:r>
        <w:rPr>
          <w:color w:val="365F91"/>
        </w:rPr>
        <w:t>Public Health Association of Australia (Victorian Branch) submission</w:t>
      </w:r>
      <w:r>
        <w:rPr>
          <w:color w:val="365F91"/>
          <w:spacing w:val="-26"/>
        </w:rPr>
        <w:t> </w:t>
      </w:r>
      <w:r>
        <w:rPr>
          <w:color w:val="365F91"/>
        </w:rPr>
        <w:t>in</w:t>
      </w:r>
      <w:r>
        <w:rPr>
          <w:color w:val="365F91"/>
          <w:w w:val="100"/>
        </w:rPr>
        <w:t> </w:t>
      </w:r>
      <w:r>
        <w:rPr>
          <w:color w:val="365F91"/>
        </w:rPr>
        <w:t>response to the Re-opened Hazelwood Mine Fire</w:t>
      </w:r>
      <w:r>
        <w:rPr>
          <w:color w:val="365F91"/>
          <w:spacing w:val="-16"/>
        </w:rPr>
        <w:t> </w:t>
      </w:r>
      <w:r>
        <w:rPr>
          <w:color w:val="365F91"/>
        </w:rPr>
        <w:t>Inquiry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spacing w:line="240" w:lineRule="auto" w:before="12"/>
        <w:rPr>
          <w:rFonts w:ascii="Calibri" w:hAnsi="Calibri" w:cs="Calibri" w:eastAsia="Calibri"/>
          <w:b/>
          <w:bCs/>
          <w:sz w:val="27"/>
          <w:szCs w:val="27"/>
        </w:rPr>
      </w:pPr>
    </w:p>
    <w:p>
      <w:pPr>
        <w:spacing w:before="0"/>
        <w:ind w:left="117" w:right="187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color w:val="365F91"/>
          <w:sz w:val="28"/>
        </w:rPr>
        <w:t>Introduction</w:t>
      </w:r>
      <w:r>
        <w:rPr>
          <w:rFonts w:ascii="Calibri"/>
          <w:sz w:val="28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7"/>
          <w:szCs w:val="27"/>
        </w:rPr>
      </w:pPr>
    </w:p>
    <w:p>
      <w:pPr>
        <w:pStyle w:val="BodyText"/>
        <w:spacing w:line="240" w:lineRule="auto"/>
        <w:ind w:right="187"/>
        <w:jc w:val="left"/>
      </w:pPr>
      <w:r>
        <w:rPr/>
        <w:t>The Public Health Association of Australia (PHAA) is a national organization</w:t>
      </w:r>
      <w:r>
        <w:rPr>
          <w:spacing w:val="-25"/>
        </w:rPr>
        <w:t> </w:t>
      </w:r>
      <w:r>
        <w:rPr/>
        <w:t>comprising</w:t>
      </w:r>
      <w:r>
        <w:rPr>
          <w:w w:val="100"/>
        </w:rPr>
        <w:t> </w:t>
      </w:r>
      <w:r>
        <w:rPr/>
        <w:t>around 1900 individual members and representing over 40 professional groups</w:t>
      </w:r>
      <w:r>
        <w:rPr>
          <w:spacing w:val="-22"/>
        </w:rPr>
        <w:t> </w:t>
      </w:r>
      <w:r>
        <w:rPr/>
        <w:t>concerned</w:t>
      </w:r>
      <w:r>
        <w:rPr>
          <w:w w:val="100"/>
        </w:rPr>
        <w:t> </w:t>
      </w:r>
      <w:r>
        <w:rPr/>
        <w:t>with the promotion of health at a population level. Key roles of the organisation</w:t>
      </w:r>
      <w:r>
        <w:rPr>
          <w:spacing w:val="-26"/>
        </w:rPr>
        <w:t> </w:t>
      </w:r>
      <w:r>
        <w:rPr/>
        <w:t>include</w:t>
      </w:r>
      <w:r>
        <w:rPr>
          <w:w w:val="100"/>
        </w:rPr>
        <w:t> </w:t>
      </w:r>
      <w:r>
        <w:rPr/>
        <w:t>capacity building, advocacy and the development of policy. Core to our work is an</w:t>
      </w:r>
      <w:r>
        <w:rPr>
          <w:spacing w:val="-25"/>
        </w:rPr>
        <w:t> </w:t>
      </w:r>
      <w:r>
        <w:rPr/>
        <w:t>evidence</w:t>
      </w:r>
      <w:r>
        <w:rPr>
          <w:w w:val="100"/>
        </w:rPr>
        <w:t> </w:t>
      </w:r>
      <w:r>
        <w:rPr/>
        <w:t>base drawn from a wide range of members working in public health practice,</w:t>
      </w:r>
      <w:r>
        <w:rPr>
          <w:spacing w:val="-20"/>
        </w:rPr>
        <w:t> </w:t>
      </w:r>
      <w:r>
        <w:rPr/>
        <w:t>research,</w:t>
      </w:r>
      <w:r>
        <w:rPr>
          <w:w w:val="100"/>
        </w:rPr>
        <w:t> </w:t>
      </w:r>
      <w:r>
        <w:rPr/>
        <w:t>administration and related fields who volunteer their time to inform policy,</w:t>
      </w:r>
      <w:r>
        <w:rPr>
          <w:spacing w:val="-18"/>
        </w:rPr>
        <w:t> </w:t>
      </w:r>
      <w:r>
        <w:rPr/>
        <w:t>support</w:t>
      </w:r>
      <w:r>
        <w:rPr>
          <w:w w:val="100"/>
        </w:rPr>
        <w:t> </w:t>
      </w:r>
      <w:r>
        <w:rPr/>
        <w:t>advocacy and assist in capacity building within the</w:t>
      </w:r>
      <w:r>
        <w:rPr>
          <w:spacing w:val="-21"/>
        </w:rPr>
        <w:t> </w:t>
      </w:r>
      <w:r>
        <w:rPr/>
        <w:t>sector.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187"/>
        <w:jc w:val="left"/>
      </w:pPr>
      <w:r>
        <w:rPr/>
        <w:t>The PHAA (Victorian Branch) has over 500 members in public health related occupations</w:t>
      </w:r>
      <w:r>
        <w:rPr>
          <w:spacing w:val="-31"/>
        </w:rPr>
        <w:t> </w:t>
      </w:r>
      <w:r>
        <w:rPr/>
        <w:t>in</w:t>
      </w:r>
      <w:r>
        <w:rPr>
          <w:spacing w:val="-1"/>
          <w:w w:val="100"/>
        </w:rPr>
        <w:t> </w:t>
      </w:r>
      <w:r>
        <w:rPr/>
        <w:t>health service, research, government and community sectors. We work with the</w:t>
      </w:r>
      <w:r>
        <w:rPr>
          <w:spacing w:val="-29"/>
        </w:rPr>
        <w:t> </w:t>
      </w:r>
      <w:r>
        <w:rPr/>
        <w:t>National</w:t>
      </w:r>
      <w:r>
        <w:rPr>
          <w:w w:val="100"/>
        </w:rPr>
        <w:t> </w:t>
      </w:r>
      <w:r>
        <w:rPr/>
        <w:t>Office in providing policy advice, in organising seminars and public events and in</w:t>
      </w:r>
      <w:r>
        <w:rPr>
          <w:spacing w:val="-32"/>
        </w:rPr>
        <w:t> </w:t>
      </w:r>
      <w:r>
        <w:rPr/>
        <w:t>mentoring</w:t>
      </w:r>
      <w:r>
        <w:rPr>
          <w:w w:val="100"/>
        </w:rPr>
        <w:t> </w:t>
      </w:r>
      <w:r>
        <w:rPr/>
        <w:t>public health</w:t>
      </w:r>
      <w:r>
        <w:rPr>
          <w:spacing w:val="-8"/>
        </w:rPr>
        <w:t> </w:t>
      </w:r>
      <w:r>
        <w:rPr/>
        <w:t>professionals.</w:t>
      </w:r>
    </w:p>
    <w:p>
      <w:pPr>
        <w:spacing w:line="240" w:lineRule="auto" w:before="12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187"/>
        <w:jc w:val="left"/>
        <w:rPr>
          <w:b w:val="0"/>
          <w:bCs w:val="0"/>
        </w:rPr>
      </w:pPr>
      <w:r>
        <w:rPr>
          <w:color w:val="365F91"/>
        </w:rPr>
        <w:t>This</w:t>
      </w:r>
      <w:r>
        <w:rPr>
          <w:color w:val="365F91"/>
          <w:spacing w:val="-7"/>
        </w:rPr>
        <w:t> </w:t>
      </w:r>
      <w:r>
        <w:rPr>
          <w:color w:val="365F91"/>
        </w:rPr>
        <w:t>submission</w:t>
      </w:r>
      <w:r>
        <w:rPr>
          <w:b w:val="0"/>
        </w:rPr>
      </w:r>
    </w:p>
    <w:p>
      <w:pPr>
        <w:pStyle w:val="BodyText"/>
        <w:spacing w:line="240" w:lineRule="auto" w:before="238"/>
        <w:ind w:right="115"/>
        <w:jc w:val="left"/>
      </w:pPr>
      <w:r>
        <w:rPr/>
        <w:t>The PHAA (Victorian Branch) welcomes the opportunity to make a submission to the</w:t>
      </w:r>
      <w:r>
        <w:rPr>
          <w:spacing w:val="-16"/>
        </w:rPr>
        <w:t> </w:t>
      </w:r>
      <w:r>
        <w:rPr/>
        <w:t>Re-</w:t>
      </w:r>
      <w:r>
        <w:rPr>
          <w:w w:val="100"/>
        </w:rPr>
        <w:t> </w:t>
      </w:r>
      <w:r>
        <w:rPr/>
        <w:t>opened Hazelwood Mine Fire Inquiry. This submission relates to Term of Reference 7</w:t>
      </w:r>
      <w:r>
        <w:rPr>
          <w:spacing w:val="-30"/>
        </w:rPr>
        <w:t> </w:t>
      </w:r>
      <w:r>
        <w:rPr/>
        <w:t>(Health</w:t>
      </w:r>
      <w:r>
        <w:rPr>
          <w:w w:val="100"/>
        </w:rPr>
        <w:t> </w:t>
      </w:r>
      <w:r>
        <w:rPr/>
        <w:t>Impacts), with specific reference to approaches to improve the short, medium and</w:t>
      </w:r>
      <w:r>
        <w:rPr>
          <w:spacing w:val="-32"/>
        </w:rPr>
        <w:t> </w:t>
      </w:r>
      <w:r>
        <w:rPr/>
        <w:t>long-term</w:t>
      </w:r>
      <w:r>
        <w:rPr>
          <w:w w:val="100"/>
        </w:rPr>
        <w:t> </w:t>
      </w:r>
      <w:r>
        <w:rPr/>
        <w:t>health of the Latrobe Valley communities, and the proposals for a Health Conservation</w:t>
      </w:r>
      <w:r>
        <w:rPr>
          <w:spacing w:val="-30"/>
        </w:rPr>
        <w:t> </w:t>
      </w:r>
      <w:r>
        <w:rPr/>
        <w:t>Zone</w:t>
      </w:r>
      <w:r>
        <w:rPr>
          <w:w w:val="100"/>
        </w:rPr>
        <w:t> </w:t>
      </w:r>
      <w:r>
        <w:rPr/>
        <w:t>and Health Advocate for the Latrobe</w:t>
      </w:r>
      <w:r>
        <w:rPr>
          <w:spacing w:val="-17"/>
        </w:rPr>
        <w:t> </w:t>
      </w:r>
      <w:r>
        <w:rPr/>
        <w:t>Valley.</w:t>
      </w:r>
    </w:p>
    <w:p>
      <w:pPr>
        <w:spacing w:line="240" w:lineRule="auto" w:before="11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187"/>
        <w:jc w:val="left"/>
        <w:rPr>
          <w:b w:val="0"/>
          <w:bCs w:val="0"/>
        </w:rPr>
      </w:pPr>
      <w:r>
        <w:rPr>
          <w:color w:val="365F91"/>
        </w:rPr>
        <w:t>Approaches to improve the health of the Latrobe Valley</w:t>
      </w:r>
      <w:r>
        <w:rPr>
          <w:color w:val="365F91"/>
          <w:spacing w:val="-21"/>
        </w:rPr>
        <w:t> </w:t>
      </w:r>
      <w:r>
        <w:rPr>
          <w:color w:val="365F91"/>
        </w:rPr>
        <w:t>communities</w:t>
      </w:r>
      <w:r>
        <w:rPr>
          <w:b w:val="0"/>
        </w:rPr>
      </w:r>
    </w:p>
    <w:p>
      <w:pPr>
        <w:pStyle w:val="BodyText"/>
        <w:spacing w:line="240" w:lineRule="auto" w:before="236"/>
        <w:ind w:right="187"/>
        <w:jc w:val="left"/>
      </w:pPr>
      <w:r>
        <w:rPr/>
        <w:t>The PHAA (Victorian Branch) endorses the findings of the first Inquiry</w:t>
      </w:r>
      <w:r>
        <w:rPr>
          <w:spacing w:val="-26"/>
        </w:rPr>
        <w:t> </w:t>
      </w:r>
      <w:r>
        <w:rPr/>
        <w:t>that:</w:t>
      </w:r>
    </w:p>
    <w:p>
      <w:pPr>
        <w:spacing w:before="180"/>
        <w:ind w:left="338" w:right="18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i/>
          <w:sz w:val="22"/>
          <w:szCs w:val="22"/>
        </w:rPr>
        <w:t>“There is a strong case for the health of the population of the Latrobe Valley to</w:t>
      </w:r>
      <w:r>
        <w:rPr>
          <w:rFonts w:ascii="Calibri" w:hAnsi="Calibri" w:cs="Calibri" w:eastAsia="Calibri"/>
          <w:i/>
          <w:spacing w:val="-25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be</w:t>
      </w:r>
      <w:r>
        <w:rPr>
          <w:rFonts w:ascii="Calibri" w:hAnsi="Calibri" w:cs="Calibri" w:eastAsia="Calibri"/>
          <w:i/>
          <w:w w:val="100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substantially improved. Based on current health status information, this was</w:t>
      </w:r>
      <w:r>
        <w:rPr>
          <w:rFonts w:ascii="Calibri" w:hAnsi="Calibri" w:cs="Calibri" w:eastAsia="Calibri"/>
          <w:i/>
          <w:spacing w:val="-28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justified</w:t>
      </w:r>
      <w:r>
        <w:rPr>
          <w:rFonts w:ascii="Calibri" w:hAnsi="Calibri" w:cs="Calibri" w:eastAsia="Calibri"/>
          <w:i/>
          <w:w w:val="100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before the Hazelwood mine fire and is even more necessary after</w:t>
      </w:r>
      <w:r>
        <w:rPr>
          <w:rFonts w:ascii="Calibri" w:hAnsi="Calibri" w:cs="Calibri" w:eastAsia="Calibri"/>
          <w:i/>
          <w:spacing w:val="-24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it.”</w:t>
      </w:r>
      <w:r>
        <w:rPr>
          <w:rFonts w:ascii="Calibri" w:hAnsi="Calibri" w:cs="Calibri" w:eastAsia="Calibri"/>
          <w:sz w:val="22"/>
          <w:szCs w:val="22"/>
        </w:rPr>
      </w:r>
    </w:p>
    <w:p>
      <w:pPr>
        <w:pStyle w:val="BodyText"/>
        <w:spacing w:line="240" w:lineRule="auto" w:before="180"/>
        <w:ind w:right="609"/>
        <w:jc w:val="left"/>
      </w:pPr>
      <w:r>
        <w:rPr/>
        <w:t>As such, we support the implementation of evidence-based, adequately resourced,</w:t>
      </w:r>
      <w:r>
        <w:rPr>
          <w:spacing w:val="-23"/>
        </w:rPr>
        <w:t> </w:t>
      </w:r>
      <w:r>
        <w:rPr/>
        <w:t>and</w:t>
      </w:r>
      <w:r>
        <w:rPr>
          <w:w w:val="100"/>
        </w:rPr>
        <w:t> </w:t>
      </w:r>
      <w:r>
        <w:rPr/>
        <w:t>community-led public health and health promotion approaches to improve the</w:t>
      </w:r>
      <w:r>
        <w:rPr>
          <w:spacing w:val="-25"/>
        </w:rPr>
        <w:t> </w:t>
      </w:r>
      <w:r>
        <w:rPr/>
        <w:t>short,</w:t>
      </w:r>
      <w:r>
        <w:rPr>
          <w:w w:val="100"/>
        </w:rPr>
        <w:t> </w:t>
      </w:r>
      <w:r>
        <w:rPr/>
        <w:t>medium and long-term health of the Latrobe Valley</w:t>
      </w:r>
      <w:r>
        <w:rPr>
          <w:spacing w:val="-20"/>
        </w:rPr>
        <w:t> </w:t>
      </w:r>
      <w:r>
        <w:rPr/>
        <w:t>communities.</w:t>
      </w:r>
    </w:p>
    <w:p>
      <w:pPr>
        <w:pStyle w:val="BodyText"/>
        <w:spacing w:line="240" w:lineRule="auto" w:before="180"/>
        <w:ind w:right="187"/>
        <w:jc w:val="left"/>
      </w:pPr>
      <w:r>
        <w:rPr/>
        <w:t>We recommend such approaches follow established health promotion and public</w:t>
      </w:r>
      <w:r>
        <w:rPr>
          <w:spacing w:val="-27"/>
        </w:rPr>
        <w:t> </w:t>
      </w:r>
      <w:r>
        <w:rPr/>
        <w:t>health</w:t>
      </w:r>
    </w:p>
    <w:p>
      <w:pPr>
        <w:spacing w:after="0" w:line="240" w:lineRule="auto"/>
        <w:jc w:val="left"/>
        <w:sectPr>
          <w:pgSz w:w="11900" w:h="16840"/>
          <w:pgMar w:top="1580" w:bottom="280" w:left="1680" w:right="168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 w:before="56"/>
        <w:ind w:right="187"/>
        <w:jc w:val="left"/>
      </w:pPr>
      <w:r>
        <w:rPr/>
        <w:t>principles,</w:t>
      </w:r>
      <w:r>
        <w:rPr>
          <w:spacing w:val="-9"/>
        </w:rPr>
        <w:t> </w:t>
      </w:r>
      <w:r>
        <w:rPr/>
        <w:t>including: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37" w:lineRule="auto" w:before="182" w:after="0"/>
        <w:ind w:left="830" w:right="134" w:hanging="355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 w:cs="Calibri" w:eastAsia="Calibri"/>
          <w:sz w:val="22"/>
          <w:szCs w:val="22"/>
        </w:rPr>
        <w:t>A broad-ranging focus on the social determinants of health, that is, ‘the conditions</w:t>
      </w:r>
      <w:r>
        <w:rPr>
          <w:rFonts w:ascii="Calibri" w:hAnsi="Calibri" w:cs="Calibri" w:eastAsia="Calibri"/>
          <w:spacing w:val="-29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in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which people are born, grow, work, live, and age, and the wider set of forces</w:t>
      </w:r>
      <w:r>
        <w:rPr>
          <w:rFonts w:ascii="Calibri" w:hAnsi="Calibri" w:cs="Calibri" w:eastAsia="Calibri"/>
          <w:spacing w:val="-2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and</w:t>
      </w:r>
      <w:r>
        <w:rPr>
          <w:rFonts w:ascii="Calibri" w:hAnsi="Calibri" w:cs="Calibri" w:eastAsia="Calibri"/>
          <w:w w:val="100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systems shaping the conditions of daily life.”</w:t>
      </w:r>
      <w:r>
        <w:rPr>
          <w:rFonts w:ascii="Calibri" w:hAnsi="Calibri" w:cs="Calibri" w:eastAsia="Calibri"/>
          <w:spacing w:val="-17"/>
          <w:sz w:val="22"/>
          <w:szCs w:val="22"/>
        </w:rPr>
        <w:t> </w:t>
      </w:r>
      <w:hyperlink w:history="true" w:anchor="_bookmark0">
        <w:r>
          <w:rPr>
            <w:rFonts w:ascii="Calibri" w:hAnsi="Calibri" w:cs="Calibri" w:eastAsia="Calibri"/>
            <w:position w:val="8"/>
            <w:sz w:val="14"/>
            <w:szCs w:val="14"/>
          </w:rPr>
          <w:t>1</w:t>
        </w:r>
        <w:r>
          <w:rPr>
            <w:rFonts w:ascii="Calibri" w:hAnsi="Calibri" w:cs="Calibri" w:eastAsia="Calibri"/>
            <w:sz w:val="14"/>
            <w:szCs w:val="14"/>
          </w:rPr>
        </w:r>
      </w:hyperlink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68" w:lineRule="exact" w:before="128" w:after="0"/>
        <w:ind w:left="830" w:right="134" w:hanging="35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An explicit focus on addressing health inequity, that is, the burden of ill health that</w:t>
      </w:r>
      <w:r>
        <w:rPr>
          <w:rFonts w:ascii="Calibri"/>
          <w:spacing w:val="-32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-1"/>
          <w:w w:val="100"/>
          <w:sz w:val="22"/>
        </w:rPr>
        <w:t> </w:t>
      </w:r>
      <w:r>
        <w:rPr>
          <w:rFonts w:ascii="Calibri"/>
          <w:sz w:val="22"/>
        </w:rPr>
        <w:t>borne disproportionately by those who are already of lower socioeconomic</w:t>
      </w:r>
      <w:r>
        <w:rPr>
          <w:rFonts w:ascii="Calibri"/>
          <w:spacing w:val="-22"/>
          <w:sz w:val="22"/>
        </w:rPr>
        <w:t> </w:t>
      </w:r>
      <w:r>
        <w:rPr>
          <w:rFonts w:ascii="Calibri"/>
          <w:sz w:val="22"/>
        </w:rPr>
        <w:t>status,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poor health, advanced age, and lacking access to appropriate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z w:val="22"/>
        </w:rPr>
        <w:t>housing.</w:t>
      </w:r>
      <w:hyperlink w:history="true" w:anchor="_bookmark1">
        <w:r>
          <w:rPr>
            <w:rFonts w:ascii="Calibri"/>
            <w:position w:val="8"/>
            <w:sz w:val="14"/>
          </w:rPr>
          <w:t>2</w:t>
        </w:r>
      </w:hyperlink>
      <w:r>
        <w:rPr>
          <w:rFonts w:ascii="Calibri"/>
          <w:w w:val="99"/>
          <w:position w:val="8"/>
          <w:sz w:val="14"/>
        </w:rPr>
        <w:t> </w:t>
      </w:r>
      <w:r>
        <w:rPr>
          <w:rFonts w:ascii="Calibri"/>
          <w:w w:val="99"/>
          <w:position w:val="8"/>
          <w:sz w:val="14"/>
        </w:rPr>
        <w:t> </w:t>
      </w:r>
      <w:r>
        <w:rPr>
          <w:rFonts w:ascii="Calibri"/>
          <w:sz w:val="22"/>
        </w:rPr>
        <w:t>Interventions to reduce health inequities should also take a life course</w:t>
      </w:r>
      <w:r>
        <w:rPr>
          <w:rFonts w:ascii="Calibri"/>
          <w:spacing w:val="-25"/>
          <w:sz w:val="22"/>
        </w:rPr>
        <w:t> </w:t>
      </w:r>
      <w:r>
        <w:rPr>
          <w:rFonts w:ascii="Calibri"/>
          <w:sz w:val="22"/>
        </w:rPr>
        <w:t>perspective.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35" w:lineRule="auto" w:before="130" w:after="0"/>
        <w:ind w:left="830" w:right="232" w:hanging="355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Calibri"/>
          <w:sz w:val="22"/>
        </w:rPr>
        <w:t>Coordinated, cross-sector activity, recognizing that in addition to the health</w:t>
      </w:r>
      <w:r>
        <w:rPr>
          <w:rFonts w:ascii="Calibri"/>
          <w:spacing w:val="-26"/>
          <w:sz w:val="22"/>
        </w:rPr>
        <w:t> </w:t>
      </w:r>
      <w:r>
        <w:rPr>
          <w:rFonts w:ascii="Calibri"/>
          <w:sz w:val="22"/>
        </w:rPr>
        <w:t>sector,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many sectors and people play roles in determining the distribution of</w:t>
      </w:r>
      <w:r>
        <w:rPr>
          <w:rFonts w:ascii="Calibri"/>
          <w:spacing w:val="-16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determinants of health and must, therefore, be engaged in intra-sectoral and</w:t>
      </w:r>
      <w:r>
        <w:rPr>
          <w:rFonts w:ascii="Calibri"/>
          <w:spacing w:val="-33"/>
          <w:sz w:val="22"/>
        </w:rPr>
        <w:t> </w:t>
      </w:r>
      <w:r>
        <w:rPr>
          <w:rFonts w:ascii="Calibri"/>
          <w:sz w:val="22"/>
        </w:rPr>
        <w:t>cross-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sectoral partnerships to reduce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inequity.</w:t>
      </w:r>
      <w:hyperlink w:history="true" w:anchor="_bookmark2">
        <w:r>
          <w:rPr>
            <w:rFonts w:ascii="Times New Roman"/>
            <w:position w:val="9"/>
            <w:sz w:val="16"/>
          </w:rPr>
          <w:t>3</w:t>
        </w:r>
        <w:r>
          <w:rPr>
            <w:rFonts w:ascii="Times New Roman"/>
            <w:sz w:val="16"/>
          </w:rPr>
        </w:r>
      </w:hyperlink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40" w:lineRule="auto" w:before="121" w:after="0"/>
        <w:ind w:left="830" w:right="773" w:hanging="35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Any initiatives must be undertaken in partnership with the community</w:t>
      </w:r>
      <w:r>
        <w:rPr>
          <w:rFonts w:ascii="Calibri"/>
          <w:spacing w:val="-19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sufficiently resourced for a sustained period of time (i.e. 5 years and</w:t>
      </w:r>
      <w:r>
        <w:rPr>
          <w:rFonts w:ascii="Calibri"/>
          <w:spacing w:val="-25"/>
          <w:sz w:val="22"/>
        </w:rPr>
        <w:t> </w:t>
      </w:r>
      <w:r>
        <w:rPr>
          <w:rFonts w:ascii="Calibri"/>
          <w:sz w:val="22"/>
        </w:rPr>
        <w:t>beyond).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40" w:lineRule="auto" w:before="120" w:after="0"/>
        <w:ind w:left="830" w:right="293" w:hanging="355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Any new initiatives should leverage off existing partnerships and programs, such</w:t>
      </w:r>
      <w:r>
        <w:rPr>
          <w:rFonts w:ascii="Calibri"/>
          <w:spacing w:val="-28"/>
          <w:sz w:val="22"/>
        </w:rPr>
        <w:t> </w:t>
      </w:r>
      <w:r>
        <w:rPr>
          <w:rFonts w:ascii="Calibri"/>
          <w:sz w:val="22"/>
        </w:rPr>
        <w:t>as</w:t>
      </w:r>
      <w:r>
        <w:rPr>
          <w:rFonts w:ascii="Calibri"/>
          <w:w w:val="100"/>
          <w:sz w:val="22"/>
        </w:rPr>
        <w:t> </w:t>
      </w:r>
      <w:r>
        <w:rPr>
          <w:rFonts w:ascii="Calibri"/>
          <w:sz w:val="22"/>
        </w:rPr>
        <w:t>the Latrobe Valley Healthy Together Victoria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program.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8"/>
        <w:rPr>
          <w:rFonts w:ascii="Calibri" w:hAnsi="Calibri" w:cs="Calibri" w:eastAsia="Calibri"/>
          <w:sz w:val="24"/>
          <w:szCs w:val="24"/>
        </w:rPr>
      </w:pPr>
    </w:p>
    <w:p>
      <w:pPr>
        <w:pStyle w:val="Heading1"/>
        <w:spacing w:line="240" w:lineRule="auto"/>
        <w:ind w:right="187"/>
        <w:jc w:val="left"/>
        <w:rPr>
          <w:b w:val="0"/>
          <w:bCs w:val="0"/>
        </w:rPr>
      </w:pPr>
      <w:r>
        <w:rPr>
          <w:color w:val="365F91"/>
        </w:rPr>
        <w:t>Establishing a Health Conservation</w:t>
      </w:r>
      <w:r>
        <w:rPr>
          <w:color w:val="365F91"/>
          <w:spacing w:val="-16"/>
        </w:rPr>
        <w:t> </w:t>
      </w:r>
      <w:r>
        <w:rPr>
          <w:color w:val="365F91"/>
        </w:rPr>
        <w:t>Zone</w:t>
      </w:r>
      <w:r>
        <w:rPr>
          <w:b w:val="0"/>
        </w:rPr>
      </w:r>
    </w:p>
    <w:p>
      <w:pPr>
        <w:pStyle w:val="BodyText"/>
        <w:spacing w:line="240" w:lineRule="auto" w:before="178"/>
        <w:ind w:right="187"/>
        <w:jc w:val="left"/>
      </w:pPr>
      <w:r>
        <w:rPr/>
        <w:t>The PHAA (Victorian Branch) supports the concept of a Health Conservation Zone</w:t>
      </w:r>
      <w:r>
        <w:rPr>
          <w:spacing w:val="-26"/>
        </w:rPr>
        <w:t> </w:t>
      </w:r>
      <w:r>
        <w:rPr/>
        <w:t>as</w:t>
      </w:r>
      <w:r>
        <w:rPr>
          <w:w w:val="100"/>
        </w:rPr>
        <w:t> </w:t>
      </w:r>
      <w:r>
        <w:rPr/>
        <w:t>articulated by the first Inquiry, as an opportunity</w:t>
      </w:r>
      <w:r>
        <w:rPr>
          <w:spacing w:val="-24"/>
        </w:rPr>
        <w:t> </w:t>
      </w:r>
      <w:r>
        <w:rPr/>
        <w:t>to</w:t>
      </w:r>
    </w:p>
    <w:p>
      <w:pPr>
        <w:spacing w:line="240" w:lineRule="auto" w:before="10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338" w:right="18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i/>
          <w:sz w:val="22"/>
          <w:szCs w:val="22"/>
        </w:rPr>
        <w:t>“improve significantly the health of the Latrobe Valley community by coordinating</w:t>
      </w:r>
      <w:r>
        <w:rPr>
          <w:rFonts w:ascii="Calibri" w:hAnsi="Calibri" w:cs="Calibri" w:eastAsia="Calibri"/>
          <w:i/>
          <w:spacing w:val="-32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and</w:t>
      </w:r>
      <w:r>
        <w:rPr>
          <w:rFonts w:ascii="Calibri" w:hAnsi="Calibri" w:cs="Calibri" w:eastAsia="Calibri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integrating health services with responses which tackle the broader social</w:t>
      </w:r>
      <w:r>
        <w:rPr>
          <w:rFonts w:ascii="Calibri" w:hAnsi="Calibri" w:cs="Calibri" w:eastAsia="Calibri"/>
          <w:i/>
          <w:spacing w:val="-16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and</w:t>
      </w:r>
      <w:r>
        <w:rPr>
          <w:rFonts w:ascii="Calibri" w:hAnsi="Calibri" w:cs="Calibri" w:eastAsia="Calibri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environmental determinants of</w:t>
      </w:r>
      <w:r>
        <w:rPr>
          <w:rFonts w:ascii="Calibri" w:hAnsi="Calibri" w:cs="Calibri" w:eastAsia="Calibri"/>
          <w:i/>
          <w:spacing w:val="-15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health.”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3"/>
          <w:szCs w:val="23"/>
        </w:rPr>
      </w:pPr>
    </w:p>
    <w:p>
      <w:pPr>
        <w:pStyle w:val="BodyText"/>
        <w:spacing w:line="240" w:lineRule="auto"/>
        <w:ind w:right="187"/>
        <w:jc w:val="left"/>
      </w:pPr>
      <w:r>
        <w:rPr/>
        <w:t>We note that concepts of Health Conservation Zones exist in other high-income</w:t>
      </w:r>
      <w:r>
        <w:rPr>
          <w:spacing w:val="-28"/>
        </w:rPr>
        <w:t> </w:t>
      </w:r>
      <w:r>
        <w:rPr/>
        <w:t>countries,</w:t>
      </w:r>
      <w:r>
        <w:rPr>
          <w:w w:val="100"/>
        </w:rPr>
        <w:t> </w:t>
      </w:r>
      <w:r>
        <w:rPr/>
        <w:t>such as the UK. For example, some areas of Birmingham, UK, a city with poor air quality</w:t>
      </w:r>
      <w:r>
        <w:rPr>
          <w:spacing w:val="-29"/>
        </w:rPr>
        <w:t> </w:t>
      </w:r>
      <w:r>
        <w:rPr/>
        <w:t>and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20"/>
          <w:szCs w:val="20"/>
        </w:rPr>
      </w:pPr>
    </w:p>
    <w:p>
      <w:pPr>
        <w:spacing w:line="20" w:lineRule="exact"/>
        <w:ind w:left="111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144.6pt;height:.6pt;mso-position-horizontal-relative:char;mso-position-vertical-relative:line" coordorigin="0,0" coordsize="2892,12">
            <v:group style="position:absolute;left:6;top:6;width:2880;height:2" coordorigin="6,6" coordsize="2880,2">
              <v:shape style="position:absolute;left:6;top:6;width:2880;height:2" coordorigin="6,6" coordsize="2880,0" path="m6,6l2886,6e" filled="false" stroked="true" strokeweight=".6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ListParagraph"/>
        <w:numPr>
          <w:ilvl w:val="0"/>
          <w:numId w:val="2"/>
        </w:numPr>
        <w:tabs>
          <w:tab w:pos="264" w:val="left" w:leader="none"/>
        </w:tabs>
        <w:spacing w:line="240" w:lineRule="auto" w:before="101" w:after="0"/>
        <w:ind w:left="117" w:right="187" w:firstLine="0"/>
        <w:jc w:val="left"/>
        <w:rPr>
          <w:rFonts w:ascii="Calibri" w:hAnsi="Calibri" w:cs="Calibri" w:eastAsia="Calibri"/>
          <w:sz w:val="20"/>
          <w:szCs w:val="20"/>
        </w:rPr>
      </w:pPr>
      <w:bookmarkStart w:name="_bookmark0" w:id="1"/>
      <w:bookmarkEnd w:id="1"/>
      <w:r>
        <w:rPr/>
      </w:r>
      <w:bookmarkStart w:name="_bookmark0" w:id="2"/>
      <w:bookmarkEnd w:id="2"/>
      <w:r>
        <w:rPr>
          <w:rFonts w:ascii="Calibri"/>
          <w:sz w:val="20"/>
        </w:rPr>
        <w:t>C</w:t>
      </w:r>
      <w:r>
        <w:rPr>
          <w:rFonts w:ascii="Calibri"/>
          <w:sz w:val="20"/>
        </w:rPr>
        <w:t>ommission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Social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Determinants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Health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(2005)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Towards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Conceptual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Framework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for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Analysis</w:t>
      </w:r>
      <w:r>
        <w:rPr>
          <w:rFonts w:ascii="Calibri"/>
          <w:w w:val="99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Action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Social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Determinants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Health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Draft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Discussion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Paper.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May,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Geneva: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World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Health</w:t>
      </w:r>
      <w:r>
        <w:rPr>
          <w:rFonts w:ascii="Calibri"/>
          <w:w w:val="99"/>
          <w:sz w:val="20"/>
        </w:rPr>
        <w:t> </w:t>
      </w:r>
      <w:r>
        <w:rPr>
          <w:rFonts w:ascii="Calibri"/>
          <w:sz w:val="20"/>
        </w:rPr>
        <w:t>Organization.</w:t>
      </w:r>
    </w:p>
    <w:p>
      <w:pPr>
        <w:pStyle w:val="ListParagraph"/>
        <w:numPr>
          <w:ilvl w:val="0"/>
          <w:numId w:val="2"/>
        </w:numPr>
        <w:tabs>
          <w:tab w:pos="264" w:val="left" w:leader="none"/>
        </w:tabs>
        <w:spacing w:line="240" w:lineRule="auto" w:before="0" w:after="0"/>
        <w:ind w:left="117" w:right="413" w:firstLine="0"/>
        <w:jc w:val="left"/>
        <w:rPr>
          <w:rFonts w:ascii="Calibri" w:hAnsi="Calibri" w:cs="Calibri" w:eastAsia="Calibri"/>
          <w:sz w:val="20"/>
          <w:szCs w:val="20"/>
        </w:rPr>
      </w:pPr>
      <w:bookmarkStart w:name="_bookmark1" w:id="3"/>
      <w:bookmarkEnd w:id="3"/>
      <w:r>
        <w:rPr/>
      </w:r>
      <w:bookmarkStart w:name="_bookmark1" w:id="4"/>
      <w:bookmarkEnd w:id="4"/>
      <w:r>
        <w:rPr>
          <w:rFonts w:ascii="Calibri"/>
          <w:sz w:val="20"/>
        </w:rPr>
        <w:t>T</w:t>
      </w:r>
      <w:r>
        <w:rPr>
          <w:rFonts w:ascii="Calibri"/>
          <w:sz w:val="20"/>
        </w:rPr>
        <w:t>he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Garnaut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Climate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Change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Review: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Final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Report.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Cambridge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University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Press,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Port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Melbourne.</w:t>
      </w:r>
      <w:r>
        <w:rPr>
          <w:rFonts w:ascii="Calibri"/>
          <w:spacing w:val="-1"/>
          <w:w w:val="99"/>
          <w:sz w:val="20"/>
        </w:rPr>
        <w:t> </w:t>
      </w:r>
      <w:bookmarkStart w:name="_bookmark2" w:id="5"/>
      <w:bookmarkEnd w:id="5"/>
      <w:r>
        <w:rPr>
          <w:rFonts w:ascii="Calibri"/>
          <w:sz w:val="20"/>
        </w:rPr>
        <w:t>3</w:t>
      </w:r>
      <w:r>
        <w:rPr>
          <w:rFonts w:ascii="Calibri"/>
          <w:sz w:val="20"/>
        </w:rPr>
        <w:t> CSDH (2008). Closing the gap in a generation: health equity through action on the</w:t>
      </w:r>
      <w:r>
        <w:rPr>
          <w:rFonts w:ascii="Calibri"/>
          <w:spacing w:val="-17"/>
          <w:sz w:val="20"/>
        </w:rPr>
        <w:t> </w:t>
      </w:r>
      <w:r>
        <w:rPr>
          <w:rFonts w:ascii="Calibri"/>
          <w:sz w:val="20"/>
        </w:rPr>
        <w:t>social</w:t>
      </w:r>
      <w:r>
        <w:rPr>
          <w:rFonts w:ascii="Calibri"/>
          <w:w w:val="99"/>
          <w:sz w:val="20"/>
        </w:rPr>
        <w:t> </w:t>
      </w:r>
      <w:r>
        <w:rPr>
          <w:rFonts w:ascii="Calibri"/>
          <w:sz w:val="20"/>
        </w:rPr>
        <w:t>determinants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health.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Final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Report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Commission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Social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Determinants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Health.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Geneva,</w:t>
      </w:r>
      <w:r>
        <w:rPr>
          <w:rFonts w:ascii="Calibri"/>
          <w:w w:val="99"/>
          <w:sz w:val="20"/>
        </w:rPr>
        <w:t> </w:t>
      </w:r>
      <w:r>
        <w:rPr>
          <w:rFonts w:ascii="Calibri"/>
          <w:sz w:val="20"/>
        </w:rPr>
        <w:t>World Health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Organization.</w:t>
      </w:r>
    </w:p>
    <w:p>
      <w:pPr>
        <w:spacing w:after="0" w:line="240" w:lineRule="auto"/>
        <w:jc w:val="left"/>
        <w:rPr>
          <w:rFonts w:ascii="Calibri" w:hAnsi="Calibri" w:cs="Calibri" w:eastAsia="Calibri"/>
          <w:sz w:val="20"/>
          <w:szCs w:val="20"/>
        </w:rPr>
        <w:sectPr>
          <w:footerReference w:type="default" r:id="rId10"/>
          <w:pgSz w:w="11900" w:h="16840"/>
          <w:pgMar w:footer="761" w:header="0" w:top="1580" w:bottom="960" w:left="1680" w:right="1680"/>
          <w:pgNumType w:start="2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 w:before="70"/>
        <w:ind w:right="187"/>
        <w:jc w:val="left"/>
      </w:pPr>
      <w:r>
        <w:rPr/>
        <w:t>high levels of respiratory disease, have been declared Natural Health Improvement</w:t>
      </w:r>
      <w:r>
        <w:rPr>
          <w:spacing w:val="-20"/>
        </w:rPr>
        <w:t> </w:t>
      </w:r>
      <w:r>
        <w:rPr/>
        <w:t>Zones</w:t>
      </w:r>
      <w:hyperlink w:history="true" w:anchor="_bookmark3">
        <w:r>
          <w:rPr>
            <w:position w:val="8"/>
            <w:sz w:val="14"/>
          </w:rPr>
          <w:t>4</w:t>
        </w:r>
      </w:hyperlink>
      <w:r>
        <w:rPr/>
        <w:t>.</w:t>
      </w:r>
      <w:r>
        <w:rPr>
          <w:w w:val="100"/>
        </w:rPr>
        <w:t> </w:t>
      </w:r>
      <w:r>
        <w:rPr/>
        <w:t>These Natural Health Improvement Zones centre around environmental changes such</w:t>
      </w:r>
      <w:r>
        <w:rPr>
          <w:spacing w:val="-20"/>
        </w:rPr>
        <w:t> </w:t>
      </w:r>
      <w:r>
        <w:rPr/>
        <w:t>as</w:t>
      </w:r>
      <w:r>
        <w:rPr>
          <w:w w:val="100"/>
        </w:rPr>
        <w:t> </w:t>
      </w:r>
      <w:r>
        <w:rPr/>
        <w:t>tree planting, and the creation of green zones and designated active transport</w:t>
      </w:r>
      <w:r>
        <w:rPr>
          <w:spacing w:val="-28"/>
        </w:rPr>
        <w:t> </w:t>
      </w:r>
      <w:r>
        <w:rPr/>
        <w:t>routes.</w:t>
      </w:r>
    </w:p>
    <w:p>
      <w:pPr>
        <w:pStyle w:val="BodyText"/>
        <w:spacing w:line="240" w:lineRule="auto" w:before="178"/>
        <w:ind w:right="187"/>
        <w:jc w:val="left"/>
      </w:pPr>
      <w:r>
        <w:rPr/>
        <w:t>We recommend the group or groups involved in the development of a Health</w:t>
      </w:r>
      <w:r>
        <w:rPr>
          <w:spacing w:val="-26"/>
        </w:rPr>
        <w:t> </w:t>
      </w:r>
      <w:r>
        <w:rPr/>
        <w:t>Conversation</w:t>
      </w:r>
      <w:r>
        <w:rPr>
          <w:w w:val="100"/>
        </w:rPr>
        <w:t> </w:t>
      </w:r>
      <w:r>
        <w:rPr/>
        <w:t>Zone build on existing partnerships and activities initiated under the Latrobe Valley</w:t>
      </w:r>
      <w:r>
        <w:rPr>
          <w:spacing w:val="-34"/>
        </w:rPr>
        <w:t> </w:t>
      </w:r>
      <w:r>
        <w:rPr/>
        <w:t>Healthy</w:t>
      </w:r>
      <w:r>
        <w:rPr>
          <w:w w:val="100"/>
        </w:rPr>
        <w:t> </w:t>
      </w:r>
      <w:r>
        <w:rPr/>
        <w:t>Together Victoria program. The roll out of Healthy Together Victoria involved</w:t>
      </w:r>
      <w:r>
        <w:rPr>
          <w:spacing w:val="-28"/>
        </w:rPr>
        <w:t> </w:t>
      </w:r>
      <w:r>
        <w:rPr/>
        <w:t>significant</w:t>
      </w:r>
      <w:r>
        <w:rPr>
          <w:w w:val="100"/>
        </w:rPr>
        <w:t> </w:t>
      </w:r>
      <w:r>
        <w:rPr/>
        <w:t>investment in the health promotion workforce, and as such, much of the expertise for</w:t>
      </w:r>
      <w:r>
        <w:rPr>
          <w:spacing w:val="-25"/>
        </w:rPr>
        <w:t> </w:t>
      </w:r>
      <w:r>
        <w:rPr/>
        <w:t>the</w:t>
      </w:r>
      <w:r>
        <w:rPr>
          <w:w w:val="100"/>
        </w:rPr>
        <w:t> </w:t>
      </w:r>
      <w:r>
        <w:rPr/>
        <w:t>creation of a Health Conservation Zone may already exist locally. We note that this</w:t>
      </w:r>
      <w:r>
        <w:rPr>
          <w:spacing w:val="-28"/>
        </w:rPr>
        <w:t> </w:t>
      </w:r>
      <w:r>
        <w:rPr/>
        <w:t>aligns</w:t>
      </w:r>
      <w:r>
        <w:rPr>
          <w:w w:val="100"/>
        </w:rPr>
        <w:t> </w:t>
      </w:r>
      <w:r>
        <w:rPr/>
        <w:t>with the recommendations of the first Inquiry, in which the authors</w:t>
      </w:r>
      <w:r>
        <w:rPr>
          <w:spacing w:val="-27"/>
        </w:rPr>
        <w:t> </w:t>
      </w:r>
      <w:r>
        <w:rPr/>
        <w:t>stated</w:t>
      </w:r>
    </w:p>
    <w:p>
      <w:pPr>
        <w:spacing w:before="180"/>
        <w:ind w:left="338" w:right="115" w:firstLine="5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i/>
          <w:sz w:val="22"/>
          <w:szCs w:val="22"/>
        </w:rPr>
        <w:t>“The Department of Health has recognised this in its prioritisation of Latrobe Valley as</w:t>
      </w:r>
      <w:r>
        <w:rPr>
          <w:rFonts w:ascii="Calibri" w:hAnsi="Calibri" w:cs="Calibri" w:eastAsia="Calibri"/>
          <w:i/>
          <w:spacing w:val="-28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one</w:t>
      </w:r>
      <w:r>
        <w:rPr>
          <w:rFonts w:ascii="Calibri" w:hAnsi="Calibri" w:cs="Calibri" w:eastAsia="Calibri"/>
          <w:i/>
          <w:w w:val="100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of the sites for the Healthier Together program, which is a community-based</w:t>
      </w:r>
      <w:r>
        <w:rPr>
          <w:rFonts w:ascii="Calibri" w:hAnsi="Calibri" w:cs="Calibri" w:eastAsia="Calibri"/>
          <w:i/>
          <w:spacing w:val="-14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health</w:t>
      </w:r>
      <w:r>
        <w:rPr>
          <w:rFonts w:ascii="Calibri" w:hAnsi="Calibri" w:cs="Calibri" w:eastAsia="Calibri"/>
          <w:i/>
          <w:w w:val="100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promotion initiative. This action is commended and needs to be built</w:t>
      </w:r>
      <w:r>
        <w:rPr>
          <w:rFonts w:ascii="Calibri" w:hAnsi="Calibri" w:cs="Calibri" w:eastAsia="Calibri"/>
          <w:i/>
          <w:spacing w:val="-22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on.”</w:t>
      </w:r>
      <w:r>
        <w:rPr>
          <w:rFonts w:ascii="Calibri" w:hAnsi="Calibri" w:cs="Calibri" w:eastAsia="Calibri"/>
          <w:sz w:val="22"/>
          <w:szCs w:val="22"/>
        </w:rPr>
      </w:r>
    </w:p>
    <w:p>
      <w:pPr>
        <w:pStyle w:val="BodyText"/>
        <w:spacing w:line="240" w:lineRule="auto" w:before="180"/>
        <w:ind w:right="187"/>
        <w:jc w:val="left"/>
      </w:pPr>
      <w:r>
        <w:rPr/>
        <w:t>We recommend that community consultation be invited on the terminology to be used</w:t>
      </w:r>
      <w:r>
        <w:rPr>
          <w:spacing w:val="-22"/>
        </w:rPr>
        <w:t> </w:t>
      </w:r>
      <w:r>
        <w:rPr/>
        <w:t>in</w:t>
      </w:r>
      <w:r>
        <w:rPr>
          <w:w w:val="100"/>
        </w:rPr>
        <w:t> </w:t>
      </w:r>
      <w:r>
        <w:rPr/>
        <w:t>any final execution of a Health Conservation Zone in the Latrobe valley. The concept</w:t>
      </w:r>
      <w:r>
        <w:rPr>
          <w:spacing w:val="-25"/>
        </w:rPr>
        <w:t> </w:t>
      </w:r>
      <w:r>
        <w:rPr/>
        <w:t>and</w:t>
      </w:r>
      <w:r>
        <w:rPr>
          <w:w w:val="100"/>
        </w:rPr>
        <w:t> </w:t>
      </w:r>
      <w:r>
        <w:rPr/>
        <w:t>terminology of a Health Conservation Zone could have unintended and</w:t>
      </w:r>
      <w:r>
        <w:rPr>
          <w:spacing w:val="-15"/>
        </w:rPr>
        <w:t> </w:t>
      </w:r>
      <w:r>
        <w:rPr/>
        <w:t>negative</w:t>
      </w:r>
      <w:r>
        <w:rPr>
          <w:w w:val="100"/>
        </w:rPr>
        <w:t> </w:t>
      </w:r>
      <w:r>
        <w:rPr/>
        <w:t>connotations in the community with potential for stigma, as it would be the first and</w:t>
      </w:r>
      <w:r>
        <w:rPr>
          <w:spacing w:val="-31"/>
        </w:rPr>
        <w:t> </w:t>
      </w:r>
      <w:r>
        <w:rPr/>
        <w:t>only</w:t>
      </w:r>
      <w:r>
        <w:rPr>
          <w:spacing w:val="-1"/>
          <w:w w:val="100"/>
        </w:rPr>
        <w:t> </w:t>
      </w:r>
      <w:r>
        <w:rPr/>
        <w:t>Health Conservation Zone in</w:t>
      </w:r>
      <w:r>
        <w:rPr>
          <w:spacing w:val="-18"/>
        </w:rPr>
        <w:t> </w:t>
      </w:r>
      <w:r>
        <w:rPr/>
        <w:t>Australia.</w:t>
      </w:r>
    </w:p>
    <w:p>
      <w:pPr>
        <w:spacing w:line="240" w:lineRule="auto" w:before="0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187"/>
        <w:jc w:val="left"/>
      </w:pPr>
      <w:r>
        <w:rPr/>
        <w:t>Finally, PHAA (Victorian Branch) recognizes that ensuring communities are engaged</w:t>
      </w:r>
      <w:r>
        <w:rPr>
          <w:spacing w:val="-18"/>
        </w:rPr>
        <w:t> </w:t>
      </w:r>
      <w:r>
        <w:rPr/>
        <w:t>in</w:t>
      </w:r>
      <w:r>
        <w:rPr>
          <w:w w:val="100"/>
        </w:rPr>
        <w:t> </w:t>
      </w:r>
      <w:r>
        <w:rPr/>
        <w:t>decisions affecting their lives, health and wellbeing is fundamental to good health. This</w:t>
      </w:r>
      <w:r>
        <w:rPr>
          <w:spacing w:val="-32"/>
        </w:rPr>
        <w:t> </w:t>
      </w:r>
      <w:r>
        <w:rPr/>
        <w:t>is</w:t>
      </w:r>
      <w:r>
        <w:rPr>
          <w:spacing w:val="-1"/>
          <w:w w:val="100"/>
        </w:rPr>
        <w:t> </w:t>
      </w:r>
      <w:r>
        <w:rPr/>
        <w:t>particularly the case for socially and economically excluded populations.</w:t>
      </w:r>
      <w:hyperlink w:history="true" w:anchor="_bookmark4">
        <w:r>
          <w:rPr>
            <w:position w:val="8"/>
            <w:sz w:val="14"/>
          </w:rPr>
          <w:t>5</w:t>
        </w:r>
      </w:hyperlink>
      <w:r>
        <w:rPr>
          <w:position w:val="8"/>
          <w:sz w:val="14"/>
        </w:rPr>
        <w:t> </w:t>
      </w:r>
      <w:r>
        <w:rPr/>
        <w:t>As such,</w:t>
      </w:r>
      <w:r>
        <w:rPr>
          <w:spacing w:val="-27"/>
        </w:rPr>
        <w:t> </w:t>
      </w:r>
      <w:r>
        <w:rPr/>
        <w:t>we</w:t>
      </w:r>
      <w:r>
        <w:rPr>
          <w:w w:val="100"/>
        </w:rPr>
        <w:t> </w:t>
      </w:r>
      <w:r>
        <w:rPr/>
        <w:t>recommend that all stages of its design, priorities and activities, roll-out,</w:t>
      </w:r>
      <w:r>
        <w:rPr>
          <w:spacing w:val="-18"/>
        </w:rPr>
        <w:t> </w:t>
      </w:r>
      <w:r>
        <w:rPr/>
        <w:t>funding,</w:t>
      </w:r>
      <w:r>
        <w:rPr>
          <w:spacing w:val="-1"/>
          <w:w w:val="100"/>
        </w:rPr>
        <w:t> </w:t>
      </w:r>
      <w:r>
        <w:rPr/>
        <w:t>management, and evaluation are conducted in partnership with the local community.</w:t>
      </w:r>
      <w:r>
        <w:rPr>
          <w:spacing w:val="-29"/>
        </w:rPr>
        <w:t> </w:t>
      </w:r>
      <w:r>
        <w:rPr/>
        <w:t>This</w:t>
      </w:r>
      <w:r>
        <w:rPr>
          <w:w w:val="100"/>
        </w:rPr>
        <w:t> </w:t>
      </w:r>
      <w:r>
        <w:rPr/>
        <w:t>should include community representation on advisory groups and</w:t>
      </w:r>
      <w:r>
        <w:rPr>
          <w:spacing w:val="-13"/>
        </w:rPr>
        <w:t> </w:t>
      </w:r>
      <w:r>
        <w:rPr/>
        <w:t>management</w:t>
      </w:r>
      <w:r>
        <w:rPr>
          <w:w w:val="100"/>
        </w:rPr>
        <w:t> </w:t>
      </w:r>
      <w:r>
        <w:rPr/>
        <w:t>committee(s) that include opportunities to influence the strategic direction of the</w:t>
      </w:r>
      <w:r>
        <w:rPr>
          <w:spacing w:val="-30"/>
        </w:rPr>
        <w:t> </w:t>
      </w:r>
      <w:r>
        <w:rPr/>
        <w:t>initiative</w:t>
      </w:r>
      <w:r>
        <w:rPr>
          <w:w w:val="100"/>
        </w:rPr>
        <w:t> </w:t>
      </w:r>
      <w:r>
        <w:rPr/>
        <w:t>and funding</w:t>
      </w:r>
      <w:r>
        <w:rPr>
          <w:spacing w:val="-5"/>
        </w:rPr>
        <w:t> </w:t>
      </w:r>
      <w:r>
        <w:rPr/>
        <w:t>decisions.</w:t>
      </w:r>
    </w:p>
    <w:p>
      <w:pPr>
        <w:spacing w:line="240" w:lineRule="auto" w:before="4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spacing w:line="240" w:lineRule="auto"/>
        <w:ind w:right="187"/>
        <w:jc w:val="left"/>
        <w:rPr>
          <w:b w:val="0"/>
          <w:bCs w:val="0"/>
        </w:rPr>
      </w:pPr>
      <w:r>
        <w:rPr>
          <w:color w:val="365F91"/>
        </w:rPr>
        <w:t>Appointing a Health</w:t>
      </w:r>
      <w:r>
        <w:rPr>
          <w:color w:val="365F91"/>
          <w:spacing w:val="-9"/>
        </w:rPr>
        <w:t> </w:t>
      </w:r>
      <w:r>
        <w:rPr>
          <w:color w:val="365F91"/>
        </w:rPr>
        <w:t>Advocate</w:t>
      </w:r>
      <w:r>
        <w:rPr>
          <w:b w:val="0"/>
        </w:rPr>
      </w:r>
    </w:p>
    <w:p>
      <w:pPr>
        <w:pStyle w:val="BodyText"/>
        <w:spacing w:line="240" w:lineRule="auto" w:before="176"/>
        <w:ind w:right="187"/>
        <w:jc w:val="left"/>
      </w:pPr>
      <w:r>
        <w:rPr/>
        <w:t>The PHAA strongly endorses the concept of a Latrobe Valley Health Advocate. In addition</w:t>
      </w:r>
      <w:r>
        <w:rPr>
          <w:spacing w:val="-28"/>
        </w:rPr>
        <w:t> </w:t>
      </w:r>
      <w:r>
        <w:rPr/>
        <w:t>to</w:t>
      </w:r>
      <w:r>
        <w:rPr>
          <w:w w:val="100"/>
        </w:rPr>
        <w:t> </w:t>
      </w:r>
      <w:r>
        <w:rPr/>
        <w:t>being a key driver of efforts to improve the health and wellbeing of the Latrobe</w:t>
      </w:r>
      <w:r>
        <w:rPr>
          <w:spacing w:val="-24"/>
        </w:rPr>
        <w:t> </w:t>
      </w:r>
      <w:r>
        <w:rPr/>
        <w:t>Valley</w:t>
      </w:r>
      <w:r>
        <w:rPr>
          <w:w w:val="100"/>
        </w:rPr>
        <w:t> </w:t>
      </w:r>
      <w:r>
        <w:rPr/>
        <w:t>community, they would be instrumental in supporting other initiatives such as the</w:t>
      </w:r>
      <w:r>
        <w:rPr>
          <w:spacing w:val="-25"/>
        </w:rPr>
        <w:t> </w:t>
      </w:r>
      <w:r>
        <w:rPr/>
        <w:t>Health</w:t>
      </w:r>
      <w:r>
        <w:rPr>
          <w:w w:val="100"/>
        </w:rPr>
        <w:t> </w:t>
      </w:r>
      <w:r>
        <w:rPr/>
        <w:t>Conservation Zone and Hazelwood Health</w:t>
      </w:r>
      <w:r>
        <w:rPr>
          <w:spacing w:val="-14"/>
        </w:rPr>
        <w:t> </w:t>
      </w:r>
      <w:r>
        <w:rPr/>
        <w:t>Study.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10"/>
          <w:szCs w:val="10"/>
        </w:rPr>
      </w:pPr>
    </w:p>
    <w:p>
      <w:pPr>
        <w:spacing w:line="20" w:lineRule="exact"/>
        <w:ind w:left="111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144.6pt;height:.6pt;mso-position-horizontal-relative:char;mso-position-vertical-relative:line" coordorigin="0,0" coordsize="2892,12">
            <v:group style="position:absolute;left:6;top:6;width:2880;height:2" coordorigin="6,6" coordsize="2880,2">
              <v:shape style="position:absolute;left:6;top:6;width:2880;height:2" coordorigin="6,6" coordsize="2880,0" path="m6,6l2886,6e" filled="false" stroked="true" strokeweight=".599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98"/>
        <w:ind w:left="117" w:right="187" w:hanging="1"/>
        <w:jc w:val="left"/>
        <w:rPr>
          <w:rFonts w:ascii="Calibri" w:hAnsi="Calibri" w:cs="Calibri" w:eastAsia="Calibri"/>
          <w:sz w:val="20"/>
          <w:szCs w:val="20"/>
        </w:rPr>
      </w:pPr>
      <w:bookmarkStart w:name="_bookmark3" w:id="6"/>
      <w:bookmarkEnd w:id="6"/>
      <w:r>
        <w:rPr/>
      </w:r>
      <w:r>
        <w:rPr>
          <w:rFonts w:ascii="Calibri"/>
          <w:position w:val="7"/>
          <w:sz w:val="13"/>
        </w:rPr>
        <w:t>4 </w:t>
      </w:r>
      <w:r>
        <w:rPr>
          <w:rFonts w:ascii="Calibri"/>
          <w:sz w:val="20"/>
        </w:rPr>
        <w:t>Birmingham City Council. 2011. Natural Health Improvement Zone. Available</w:t>
      </w:r>
      <w:r>
        <w:rPr>
          <w:rFonts w:ascii="Calibri"/>
          <w:spacing w:val="-24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w w:val="99"/>
          <w:sz w:val="20"/>
        </w:rPr>
        <w:t> </w:t>
      </w:r>
      <w:r>
        <w:rPr>
          <w:rFonts w:ascii="Calibri"/>
          <w:color w:val="0000FF"/>
          <w:w w:val="99"/>
          <w:sz w:val="20"/>
        </w:rPr>
      </w:r>
      <w:hyperlink r:id="rId11">
        <w:r>
          <w:rPr>
            <w:rFonts w:ascii="Calibri"/>
            <w:color w:val="0000FF"/>
            <w:sz w:val="20"/>
            <w:u w:val="single" w:color="0000FF"/>
          </w:rPr>
          <w:t>http://www.birmingham.gov.uk/treesinbirmingham</w:t>
        </w:r>
        <w:r>
          <w:rPr>
            <w:rFonts w:ascii="Calibri"/>
            <w:color w:val="0000FF"/>
            <w:sz w:val="20"/>
          </w:rPr>
        </w:r>
        <w:r>
          <w:rPr>
            <w:rFonts w:ascii="Calibri"/>
            <w:sz w:val="20"/>
          </w:rPr>
        </w:r>
      </w:hyperlink>
    </w:p>
    <w:p>
      <w:pPr>
        <w:spacing w:line="240" w:lineRule="auto" w:before="0"/>
        <w:ind w:left="117" w:right="187" w:firstLine="0"/>
        <w:jc w:val="left"/>
        <w:rPr>
          <w:rFonts w:ascii="Calibri" w:hAnsi="Calibri" w:cs="Calibri" w:eastAsia="Calibri"/>
          <w:sz w:val="20"/>
          <w:szCs w:val="20"/>
        </w:rPr>
      </w:pPr>
      <w:bookmarkStart w:name="_bookmark4" w:id="7"/>
      <w:bookmarkEnd w:id="7"/>
      <w:r>
        <w:rPr/>
      </w:r>
      <w:r>
        <w:rPr>
          <w:rFonts w:ascii="Calibri" w:hAnsi="Calibri" w:cs="Calibri" w:eastAsia="Calibri"/>
          <w:position w:val="7"/>
          <w:sz w:val="13"/>
          <w:szCs w:val="13"/>
        </w:rPr>
        <w:t>5</w:t>
      </w:r>
      <w:r>
        <w:rPr>
          <w:rFonts w:ascii="Calibri" w:hAnsi="Calibri" w:cs="Calibri" w:eastAsia="Calibri"/>
          <w:spacing w:val="-5"/>
          <w:position w:val="7"/>
          <w:sz w:val="13"/>
          <w:szCs w:val="13"/>
        </w:rPr>
        <w:t> </w:t>
      </w:r>
      <w:r>
        <w:rPr>
          <w:rFonts w:ascii="Calibri" w:hAnsi="Calibri" w:cs="Calibri" w:eastAsia="Calibri"/>
          <w:sz w:val="20"/>
          <w:szCs w:val="20"/>
        </w:rPr>
        <w:t>PHAA</w:t>
      </w:r>
      <w:r>
        <w:rPr>
          <w:rFonts w:ascii="Calibri" w:hAnsi="Calibri" w:cs="Calibri" w:eastAsia="Calibri"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2012.</w:t>
      </w:r>
      <w:r>
        <w:rPr>
          <w:rFonts w:ascii="Calibri" w:hAnsi="Calibri" w:cs="Calibri" w:eastAsia="Calibri"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Public</w:t>
      </w:r>
      <w:r>
        <w:rPr>
          <w:rFonts w:ascii="Calibri" w:hAnsi="Calibri" w:cs="Calibri" w:eastAsia="Calibri"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Health</w:t>
      </w:r>
      <w:r>
        <w:rPr>
          <w:rFonts w:ascii="Calibri" w:hAnsi="Calibri" w:cs="Calibri" w:eastAsia="Calibri"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Association</w:t>
      </w:r>
      <w:r>
        <w:rPr>
          <w:rFonts w:ascii="Calibri" w:hAnsi="Calibri" w:cs="Calibri" w:eastAsia="Calibri"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of</w:t>
      </w:r>
      <w:r>
        <w:rPr>
          <w:rFonts w:ascii="Calibri" w:hAnsi="Calibri" w:cs="Calibri" w:eastAsia="Calibri"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Australia:</w:t>
      </w:r>
      <w:r>
        <w:rPr>
          <w:rFonts w:ascii="Calibri" w:hAnsi="Calibri" w:cs="Calibri" w:eastAsia="Calibri"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Policy-at-a-glance</w:t>
      </w:r>
      <w:r>
        <w:rPr>
          <w:rFonts w:ascii="Calibri" w:hAnsi="Calibri" w:cs="Calibri" w:eastAsia="Calibri"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–</w:t>
      </w:r>
      <w:r>
        <w:rPr>
          <w:rFonts w:ascii="Calibri" w:hAnsi="Calibri" w:cs="Calibri" w:eastAsia="Calibri"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Health</w:t>
      </w:r>
      <w:r>
        <w:rPr>
          <w:rFonts w:ascii="Calibri" w:hAnsi="Calibri" w:cs="Calibri" w:eastAsia="Calibri"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Inequities</w:t>
      </w:r>
      <w:r>
        <w:rPr>
          <w:rFonts w:ascii="Calibri" w:hAnsi="Calibri" w:cs="Calibri" w:eastAsia="Calibri"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Policy.</w:t>
      </w:r>
      <w:r>
        <w:rPr>
          <w:rFonts w:ascii="Calibri" w:hAnsi="Calibri" w:cs="Calibri" w:eastAsia="Calibri"/>
          <w:w w:val="99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Available at</w:t>
      </w:r>
      <w:r>
        <w:rPr>
          <w:rFonts w:ascii="Calibri" w:hAnsi="Calibri" w:cs="Calibri" w:eastAsia="Calibri"/>
          <w:spacing w:val="-36"/>
          <w:sz w:val="20"/>
          <w:szCs w:val="20"/>
        </w:rPr>
        <w:t> </w:t>
      </w:r>
      <w:r>
        <w:rPr>
          <w:rFonts w:ascii="Calibri" w:hAnsi="Calibri" w:cs="Calibri" w:eastAsia="Calibri"/>
          <w:color w:val="0000FF"/>
          <w:spacing w:val="-36"/>
          <w:sz w:val="20"/>
          <w:szCs w:val="20"/>
        </w:rPr>
      </w:r>
      <w:hyperlink r:id="rId12">
        <w:r>
          <w:rPr>
            <w:rFonts w:ascii="Calibri" w:hAnsi="Calibri" w:cs="Calibri" w:eastAsia="Calibri"/>
            <w:color w:val="0000FF"/>
            <w:sz w:val="20"/>
            <w:szCs w:val="20"/>
            <w:u w:val="single" w:color="0000FF"/>
          </w:rPr>
          <w:t>http://www.phaa.net.au/documents/item/691</w:t>
        </w:r>
        <w:r>
          <w:rPr>
            <w:rFonts w:ascii="Calibri" w:hAnsi="Calibri" w:cs="Calibri" w:eastAsia="Calibri"/>
            <w:color w:val="0000FF"/>
            <w:sz w:val="20"/>
            <w:szCs w:val="20"/>
          </w:rPr>
        </w:r>
        <w:r>
          <w:rPr>
            <w:rFonts w:ascii="Calibri" w:hAnsi="Calibri" w:cs="Calibri" w:eastAsia="Calibri"/>
            <w:sz w:val="20"/>
            <w:szCs w:val="20"/>
          </w:rPr>
        </w:r>
      </w:hyperlink>
    </w:p>
    <w:p>
      <w:pPr>
        <w:spacing w:after="0" w:line="240" w:lineRule="auto"/>
        <w:jc w:val="left"/>
        <w:rPr>
          <w:rFonts w:ascii="Calibri" w:hAnsi="Calibri" w:cs="Calibri" w:eastAsia="Calibri"/>
          <w:sz w:val="20"/>
          <w:szCs w:val="20"/>
        </w:rPr>
        <w:sectPr>
          <w:pgSz w:w="11900" w:h="16840"/>
          <w:pgMar w:header="0" w:footer="761" w:top="1580" w:bottom="960" w:left="1680" w:right="168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 w:before="56"/>
        <w:ind w:right="187"/>
        <w:jc w:val="left"/>
      </w:pPr>
      <w:r>
        <w:rPr/>
        <w:t>We</w:t>
      </w:r>
      <w:r>
        <w:rPr>
          <w:spacing w:val="-2"/>
        </w:rPr>
        <w:t> </w:t>
      </w:r>
      <w:r>
        <w:rPr/>
        <w:t>note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</w:t>
      </w:r>
      <w:r>
        <w:rPr>
          <w:spacing w:val="-2"/>
        </w:rPr>
        <w:t> </w:t>
      </w:r>
      <w:r>
        <w:rPr/>
        <w:t>Inquiry</w:t>
      </w:r>
      <w:r>
        <w:rPr>
          <w:spacing w:val="-2"/>
        </w:rPr>
        <w:t> </w:t>
      </w:r>
      <w:r>
        <w:rPr/>
        <w:t>found</w:t>
      </w:r>
      <w:r>
        <w:rPr>
          <w:spacing w:val="-4"/>
        </w:rPr>
        <w:t> </w:t>
      </w:r>
      <w:r>
        <w:rPr/>
        <w:t>there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noticeable</w:t>
      </w:r>
      <w:r>
        <w:rPr>
          <w:spacing w:val="-4"/>
        </w:rPr>
        <w:t> </w:t>
      </w:r>
      <w:r>
        <w:rPr/>
        <w:t>lack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local</w:t>
      </w:r>
      <w:r>
        <w:rPr>
          <w:spacing w:val="-3"/>
        </w:rPr>
        <w:t> </w:t>
      </w:r>
      <w:r>
        <w:rPr/>
        <w:t>health</w:t>
      </w:r>
      <w:r>
        <w:rPr>
          <w:spacing w:val="-4"/>
        </w:rPr>
        <w:t> </w:t>
      </w:r>
      <w:r>
        <w:rPr/>
        <w:t>leadership,</w:t>
      </w:r>
      <w:r>
        <w:rPr>
          <w:spacing w:val="-3"/>
        </w:rPr>
        <w:t> </w:t>
      </w:r>
      <w:r>
        <w:rPr/>
        <w:t>with</w:t>
      </w:r>
      <w:r>
        <w:rPr>
          <w:w w:val="100"/>
        </w:rPr>
        <w:t> </w:t>
      </w:r>
      <w:r>
        <w:rPr/>
        <w:t>the purpose of the Health Advocate being to remedy this situation by</w:t>
      </w:r>
      <w:r>
        <w:rPr>
          <w:spacing w:val="-26"/>
        </w:rPr>
        <w:t> </w:t>
      </w:r>
      <w:r>
        <w:rPr/>
        <w:t>providing:</w:t>
      </w:r>
    </w:p>
    <w:p>
      <w:pPr>
        <w:spacing w:line="240" w:lineRule="auto" w:before="10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338" w:right="18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i/>
          <w:sz w:val="22"/>
          <w:szCs w:val="22"/>
        </w:rPr>
        <w:t>“A local health voice for the Latrobe Valley community that can win the trust of</w:t>
      </w:r>
      <w:r>
        <w:rPr>
          <w:rFonts w:ascii="Calibri" w:hAnsi="Calibri" w:cs="Calibri" w:eastAsia="Calibri"/>
          <w:i/>
          <w:spacing w:val="-22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that</w:t>
      </w:r>
      <w:r>
        <w:rPr>
          <w:rFonts w:ascii="Calibri" w:hAnsi="Calibri" w:cs="Calibri" w:eastAsia="Calibri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community and be a sound source of advice, mediation and advocacy on</w:t>
      </w:r>
      <w:r>
        <w:rPr>
          <w:rFonts w:ascii="Calibri" w:hAnsi="Calibri" w:cs="Calibri" w:eastAsia="Calibri"/>
          <w:i/>
          <w:spacing w:val="-23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health-related</w:t>
      </w:r>
      <w:r>
        <w:rPr>
          <w:rFonts w:ascii="Calibri" w:hAnsi="Calibri" w:cs="Calibri" w:eastAsia="Calibri"/>
          <w:i/>
          <w:w w:val="100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matters.”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3"/>
          <w:szCs w:val="23"/>
        </w:rPr>
      </w:pPr>
    </w:p>
    <w:p>
      <w:pPr>
        <w:pStyle w:val="BodyText"/>
        <w:spacing w:line="240" w:lineRule="auto"/>
        <w:ind w:right="115"/>
        <w:jc w:val="left"/>
      </w:pPr>
      <w:r>
        <w:rPr/>
        <w:t>As such, PHAA (Victorian Branch) believes that a local medical and/or public</w:t>
      </w:r>
      <w:r>
        <w:rPr>
          <w:spacing w:val="-19"/>
        </w:rPr>
        <w:t> </w:t>
      </w:r>
      <w:r>
        <w:rPr/>
        <w:t>health</w:t>
      </w:r>
      <w:r>
        <w:rPr>
          <w:w w:val="100"/>
        </w:rPr>
        <w:t> </w:t>
      </w:r>
      <w:r>
        <w:rPr/>
        <w:t>professional with requisite specialist knowledge and skills in prevention and</w:t>
      </w:r>
      <w:r>
        <w:rPr>
          <w:spacing w:val="-19"/>
        </w:rPr>
        <w:t> </w:t>
      </w:r>
      <w:r>
        <w:rPr/>
        <w:t>community</w:t>
      </w:r>
      <w:r>
        <w:rPr>
          <w:w w:val="100"/>
        </w:rPr>
        <w:t> </w:t>
      </w:r>
      <w:r>
        <w:rPr/>
        <w:t>engagement would be the most appropriate person for the Health Advocate position. Such</w:t>
      </w:r>
      <w:r>
        <w:rPr>
          <w:spacing w:val="-27"/>
        </w:rPr>
        <w:t> </w:t>
      </w:r>
      <w:r>
        <w:rPr/>
        <w:t>a</w:t>
      </w:r>
      <w:r>
        <w:rPr>
          <w:w w:val="100"/>
        </w:rPr>
        <w:t> </w:t>
      </w:r>
      <w:r>
        <w:rPr/>
        <w:t>person would be both known and respected as a health and/or medical authority in</w:t>
      </w:r>
      <w:r>
        <w:rPr>
          <w:spacing w:val="-24"/>
        </w:rPr>
        <w:t> </w:t>
      </w:r>
      <w:r>
        <w:rPr/>
        <w:t>the</w:t>
      </w:r>
      <w:r>
        <w:rPr>
          <w:w w:val="100"/>
        </w:rPr>
        <w:t> </w:t>
      </w:r>
      <w:r>
        <w:rPr/>
        <w:t>Latrobe Valley, and be seen as truly independent of government and thereby able to</w:t>
      </w:r>
      <w:r>
        <w:rPr>
          <w:spacing w:val="-28"/>
        </w:rPr>
        <w:t> </w:t>
      </w:r>
      <w:r>
        <w:rPr/>
        <w:t>garner</w:t>
      </w:r>
      <w:r>
        <w:rPr>
          <w:w w:val="100"/>
        </w:rPr>
        <w:t> </w:t>
      </w:r>
      <w:r>
        <w:rPr/>
        <w:t>community trust and offer the frank and fearless advice to government that would be</w:t>
      </w:r>
      <w:r>
        <w:rPr>
          <w:spacing w:val="-32"/>
        </w:rPr>
        <w:t> </w:t>
      </w:r>
      <w:r>
        <w:rPr/>
        <w:t>critical</w:t>
      </w:r>
      <w:r>
        <w:rPr>
          <w:spacing w:val="-1"/>
          <w:w w:val="100"/>
        </w:rPr>
        <w:t> </w:t>
      </w:r>
      <w:r>
        <w:rPr/>
        <w:t>to success in the</w:t>
      </w:r>
      <w:r>
        <w:rPr>
          <w:spacing w:val="-7"/>
        </w:rPr>
        <w:t> </w:t>
      </w:r>
      <w:r>
        <w:rPr/>
        <w:t>role.</w:t>
      </w:r>
    </w:p>
    <w:p>
      <w:pPr>
        <w:spacing w:line="240" w:lineRule="auto" w:before="9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66" w:lineRule="exact"/>
        <w:ind w:right="187"/>
        <w:jc w:val="left"/>
      </w:pPr>
      <w:r>
        <w:rPr/>
        <w:t>However, we note the broad range of possible key competencies of the Health Advocate,</w:t>
      </w:r>
      <w:r>
        <w:rPr>
          <w:spacing w:val="-26"/>
        </w:rPr>
        <w:t> </w:t>
      </w:r>
      <w:r>
        <w:rPr/>
        <w:t>as</w:t>
      </w:r>
      <w:r>
        <w:rPr>
          <w:w w:val="100"/>
        </w:rPr>
        <w:t> </w:t>
      </w:r>
      <w:r>
        <w:rPr/>
        <w:t>articulated by the first Inquiry. These</w:t>
      </w:r>
      <w:r>
        <w:rPr>
          <w:spacing w:val="-20"/>
        </w:rPr>
        <w:t> </w:t>
      </w:r>
      <w:r>
        <w:rPr/>
        <w:t>include:</w:t>
      </w:r>
    </w:p>
    <w:p>
      <w:pPr>
        <w:spacing w:line="240" w:lineRule="auto" w:before="6"/>
        <w:rPr>
          <w:rFonts w:ascii="Calibri" w:hAnsi="Calibri" w:cs="Calibri" w:eastAsia="Calibri"/>
          <w:sz w:val="23"/>
          <w:szCs w:val="23"/>
        </w:rPr>
      </w:pPr>
    </w:p>
    <w:p>
      <w:pPr>
        <w:spacing w:before="0"/>
        <w:ind w:left="337" w:right="115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i/>
          <w:sz w:val="22"/>
          <w:szCs w:val="22"/>
        </w:rPr>
        <w:t>“Leadership, monitoring and assessing the health of the public, policy, planning</w:t>
      </w:r>
      <w:r>
        <w:rPr>
          <w:rFonts w:ascii="Calibri" w:hAnsi="Calibri" w:cs="Calibri" w:eastAsia="Calibri"/>
          <w:i/>
          <w:spacing w:val="-21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and</w:t>
      </w:r>
      <w:r>
        <w:rPr>
          <w:rFonts w:ascii="Calibri" w:hAnsi="Calibri" w:cs="Calibri" w:eastAsia="Calibri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program development, communication, collaboration and partnering, foundational</w:t>
      </w:r>
      <w:r>
        <w:rPr>
          <w:rFonts w:ascii="Calibri" w:hAnsi="Calibri" w:cs="Calibri" w:eastAsia="Calibri"/>
          <w:i/>
          <w:spacing w:val="-30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clinical</w:t>
      </w:r>
      <w:r>
        <w:rPr>
          <w:rFonts w:ascii="Calibri" w:hAnsi="Calibri" w:cs="Calibri" w:eastAsia="Calibri"/>
          <w:i/>
          <w:spacing w:val="-1"/>
          <w:w w:val="100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competencies and professional</w:t>
      </w:r>
      <w:r>
        <w:rPr>
          <w:rFonts w:ascii="Calibri" w:hAnsi="Calibri" w:cs="Calibri" w:eastAsia="Calibri"/>
          <w:i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practice.”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22"/>
          <w:szCs w:val="22"/>
        </w:rPr>
      </w:pPr>
    </w:p>
    <w:p>
      <w:pPr>
        <w:pStyle w:val="BodyText"/>
        <w:spacing w:line="240" w:lineRule="auto"/>
        <w:ind w:right="115"/>
        <w:jc w:val="left"/>
      </w:pPr>
      <w:r>
        <w:rPr/>
        <w:t>As such, remuneration for this role would be crucial, as would appropriate infrastructure</w:t>
      </w:r>
      <w:r>
        <w:rPr>
          <w:spacing w:val="-31"/>
        </w:rPr>
        <w:t> </w:t>
      </w:r>
      <w:r>
        <w:rPr/>
        <w:t>and</w:t>
      </w:r>
      <w:r>
        <w:rPr>
          <w:w w:val="100"/>
        </w:rPr>
        <w:t> </w:t>
      </w:r>
      <w:r>
        <w:rPr/>
        <w:t>resources to enable delivery of this function. Accountability for the role could be</w:t>
      </w:r>
      <w:r>
        <w:rPr>
          <w:spacing w:val="-18"/>
        </w:rPr>
        <w:t> </w:t>
      </w:r>
      <w:r>
        <w:rPr/>
        <w:t>through</w:t>
      </w:r>
      <w:r>
        <w:rPr>
          <w:spacing w:val="-1"/>
          <w:w w:val="100"/>
        </w:rPr>
        <w:t> </w:t>
      </w:r>
      <w:r>
        <w:rPr/>
        <w:t>existing statutory positions or authorities, such as the office of the Chief Health</w:t>
      </w:r>
      <w:r>
        <w:rPr>
          <w:spacing w:val="-23"/>
        </w:rPr>
        <w:t> </w:t>
      </w:r>
      <w:r>
        <w:rPr/>
        <w:t>Officer</w:t>
      </w:r>
      <w:r>
        <w:rPr>
          <w:w w:val="100"/>
        </w:rPr>
        <w:t> </w:t>
      </w:r>
      <w:r>
        <w:rPr/>
        <w:t>and/or the Victorian Health Promotion Foundation,</w:t>
      </w:r>
      <w:r>
        <w:rPr>
          <w:spacing w:val="-21"/>
        </w:rPr>
        <w:t> </w:t>
      </w:r>
      <w:r>
        <w:rPr/>
        <w:t>VicHealth.</w:t>
      </w:r>
    </w:p>
    <w:p>
      <w:pPr>
        <w:spacing w:line="240" w:lineRule="auto" w:before="0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477" w:lineRule="auto"/>
        <w:ind w:right="609"/>
        <w:jc w:val="left"/>
      </w:pPr>
      <w:r>
        <w:rPr/>
        <w:t>The PHAA (Victorian Branch) appreciates the opportunity to make this</w:t>
      </w:r>
      <w:r>
        <w:rPr>
          <w:spacing w:val="-27"/>
        </w:rPr>
        <w:t> </w:t>
      </w:r>
      <w:r>
        <w:rPr/>
        <w:t>submission.</w:t>
      </w:r>
      <w:r>
        <w:rPr>
          <w:w w:val="100"/>
        </w:rPr>
        <w:t> </w:t>
      </w:r>
      <w:r>
        <w:rPr/>
        <w:t>Yours</w:t>
      </w:r>
      <w:r>
        <w:rPr>
          <w:spacing w:val="-6"/>
        </w:rPr>
        <w:t> </w:t>
      </w:r>
      <w:r>
        <w:rPr/>
        <w:t>sincerely,</w:t>
      </w:r>
    </w:p>
    <w:p>
      <w:pPr>
        <w:spacing w:line="720" w:lineRule="exact"/>
        <w:ind w:left="156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13"/>
          <w:sz w:val="20"/>
          <w:szCs w:val="20"/>
        </w:rPr>
        <w:drawing>
          <wp:inline distT="0" distB="0" distL="0" distR="0">
            <wp:extent cx="1176753" cy="457200"/>
            <wp:effectExtent l="0" t="0" r="0" b="0"/>
            <wp:docPr id="1" name="image2.png" descr="Brian's sig.bmp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75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position w:val="-13"/>
          <w:sz w:val="20"/>
          <w:szCs w:val="20"/>
        </w:rPr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6213"/>
        <w:jc w:val="left"/>
      </w:pPr>
      <w:r>
        <w:rPr/>
        <w:t>Brian</w:t>
      </w:r>
      <w:r>
        <w:rPr>
          <w:spacing w:val="-6"/>
        </w:rPr>
        <w:t> </w:t>
      </w:r>
      <w:r>
        <w:rPr/>
        <w:t>Vandenberg</w:t>
      </w:r>
      <w:r>
        <w:rPr>
          <w:w w:val="100"/>
        </w:rPr>
        <w:t> </w:t>
      </w:r>
      <w:r>
        <w:rPr/>
        <w:t>Branch</w:t>
      </w:r>
      <w:r>
        <w:rPr>
          <w:spacing w:val="-5"/>
        </w:rPr>
        <w:t> </w:t>
      </w:r>
      <w:r>
        <w:rPr/>
        <w:t>President</w:t>
      </w:r>
    </w:p>
    <w:p>
      <w:pPr>
        <w:pStyle w:val="BodyText"/>
        <w:spacing w:line="480" w:lineRule="auto"/>
        <w:ind w:left="116" w:right="3367"/>
        <w:jc w:val="left"/>
      </w:pPr>
      <w:r>
        <w:rPr/>
        <w:t>Public Health Association of Australia (Victorian</w:t>
      </w:r>
      <w:r>
        <w:rPr>
          <w:spacing w:val="-23"/>
        </w:rPr>
        <w:t> </w:t>
      </w:r>
      <w:r>
        <w:rPr/>
        <w:t>Branch)</w:t>
      </w:r>
      <w:r>
        <w:rPr>
          <w:w w:val="100"/>
        </w:rPr>
        <w:t> </w:t>
      </w:r>
      <w:r>
        <w:rPr/>
        <w:t>2 August</w:t>
      </w:r>
      <w:r>
        <w:rPr>
          <w:spacing w:val="-3"/>
        </w:rPr>
        <w:t> </w:t>
      </w:r>
      <w:r>
        <w:rPr/>
        <w:t>2015</w:t>
      </w:r>
    </w:p>
    <w:sectPr>
      <w:pgSz w:w="11900" w:h="16840"/>
      <w:pgMar w:header="0" w:footer="761" w:top="1580" w:bottom="96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97.079987pt;margin-top:792.863892pt;width:10pt;height:14pt;mso-position-horizontal-relative:page;mso-position-vertical-relative:page;z-index:-7384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17" w:hanging="147"/>
        <w:jc w:val="left"/>
      </w:pPr>
      <w:rPr>
        <w:rFonts w:hint="default" w:ascii="Calibri" w:hAnsi="Calibri" w:eastAsia="Calibri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961" w:hanging="1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03" w:hanging="1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5" w:hanging="1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7" w:hanging="1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9" w:hanging="1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71" w:hanging="1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3" w:hanging="1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55" w:hanging="147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30" w:hanging="356"/>
      </w:pPr>
      <w:rPr>
        <w:rFonts w:hint="default" w:ascii="Symbol" w:hAnsi="Symbol" w:eastAsia="Symbo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609" w:hanging="3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79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9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9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9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9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29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9" w:hanging="35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7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Calibri" w:hAnsi="Calibri" w:eastAsia="Calibri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zelwoodinquiry.vic.gov.au/online-submissions/" TargetMode="External"/><Relationship Id="rId13" Type="http://schemas.openxmlformats.org/officeDocument/2006/relationships/image" Target="media/image2.png"/><Relationship Id="rId3" Type="http://schemas.openxmlformats.org/officeDocument/2006/relationships/theme" Target="theme/theme1.xml"/><Relationship Id="rId7" Type="http://schemas.openxmlformats.org/officeDocument/2006/relationships/hyperlink" Target="http://hazelwoodinquiry.vic.gov.au/wp-content/uploads/formidable/PHAAVic_Hazelwood-Inquiry2_sub_20150727.docx" TargetMode="External"/><Relationship Id="rId12" Type="http://schemas.openxmlformats.org/officeDocument/2006/relationships/hyperlink" Target="http://www.phaa.net.au/documents/item/691" TargetMode="External"/><Relationship Id="rId17" Type="http://schemas.openxmlformats.org/officeDocument/2006/relationships/customXml" Target="../customXml/item3.xml"/><Relationship Id="rId2" Type="http://schemas.openxmlformats.org/officeDocument/2006/relationships/fontTable" Target="fontTable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phaa.vic@gmail.com" TargetMode="External"/><Relationship Id="rId11" Type="http://schemas.openxmlformats.org/officeDocument/2006/relationships/hyperlink" Target="http://www.birmingham.gov.uk/treesinbirmingham" TargetMode="External"/><Relationship Id="rId5" Type="http://schemas.openxmlformats.org/officeDocument/2006/relationships/hyperlink" Target="mailto:info@hazelwoodinquiry.vic.gov.au" TargetMode="Externa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08BD0CD94E94CA6CFF9809E1C1F16" ma:contentTypeVersion="0" ma:contentTypeDescription="Create a new document." ma:contentTypeScope="" ma:versionID="154727199fd461d5b3e672cdf187db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3930A7-B48E-4068-B124-C78242F11FD6}"/>
</file>

<file path=customXml/itemProps2.xml><?xml version="1.0" encoding="utf-8"?>
<ds:datastoreItem xmlns:ds="http://schemas.openxmlformats.org/officeDocument/2006/customXml" ds:itemID="{6E7C1F96-D812-46AB-AE95-129360CF1599}"/>
</file>

<file path=customXml/itemProps3.xml><?xml version="1.0" encoding="utf-8"?>
<ds:datastoreItem xmlns:ds="http://schemas.openxmlformats.org/officeDocument/2006/customXml" ds:itemID="{E48040E6-16B5-473F-8A48-B18709506F3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PHAA_Vic_Submission</dc:title>
  <dc:creator>Synnot Anneliese</dc:creator>
  <dcterms:created xsi:type="dcterms:W3CDTF">2015-08-12T09:54:51Z</dcterms:created>
  <dcterms:modified xsi:type="dcterms:W3CDTF">2015-08-12T09:54:51Z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2015-08-11T00:00:00Z</vt:filetime>
  </property>
  <property fmtid="{D5CDD505-2E9C-101B-9397-08002B2CF9AE}" pid="5" name="ContentTypeId">
    <vt:lpwstr>0x010100F3008BD0CD94E94CA6CFF9809E1C1F16</vt:lpwstr>
  </property>
  <property fmtid="{D5CDD505-2E9C-101B-9397-08002B2CF9AE}" pid="6" name="Order">
    <vt:r8>206000</vt:r8>
  </property>
</Properties>
</file>