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4386" w:right="1235"/>
        <w:jc w:val="left"/>
        <w:rPr>
          <w:b w:val="0"/>
          <w:bCs w:val="0"/>
        </w:rPr>
      </w:pPr>
      <w:r>
        <w:rPr>
          <w:color w:val="1D1D1D"/>
          <w:w w:val="105"/>
        </w:rPr>
        <w:t>Victorian Chronic Disease Prevention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Alliance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1910" w:h="16840"/>
          <w:pgMar w:top="94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0" w:right="448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172.800003pt;margin-top:-21.614813pt;width:36.480pt;height:30.72pt;mso-position-horizontal-relative:page;mso-position-vertical-relative:paragraph;z-index:1120" type="#_x0000_t75" stroked="false">
            <v:imagedata r:id="rId5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3.195801pt;margin-top:-22.523039pt;width:56.3pt;height:27.5pt;mso-position-horizontal-relative:page;mso-position-vertical-relative:paragraph;z-index:-6088" type="#_x0000_t202" filled="false" stroked="false">
            <v:textbox inset="0,0,0,0">
              <w:txbxContent>
                <w:p>
                  <w:pPr>
                    <w:spacing w:line="5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5"/>
                      <w:szCs w:val="55"/>
                    </w:rPr>
                  </w:pPr>
                  <w:r>
                    <w:rPr>
                      <w:rFonts w:ascii="Times New Roman"/>
                      <w:color w:val="1D1D1D"/>
                      <w:w w:val="25"/>
                      <w:sz w:val="55"/>
                    </w:rPr>
                    <w:t>Hear</w:t>
                  </w:r>
                  <w:r>
                    <w:rPr>
                      <w:rFonts w:ascii="Times New Roman"/>
                      <w:color w:val="1D1D1D"/>
                      <w:spacing w:val="13"/>
                      <w:w w:val="25"/>
                      <w:sz w:val="55"/>
                    </w:rPr>
                    <w:t>t</w:t>
                  </w:r>
                  <w:r>
                    <w:rPr>
                      <w:rFonts w:ascii="Times New Roman"/>
                      <w:color w:val="C66D74"/>
                      <w:w w:val="578"/>
                      <w:sz w:val="55"/>
                    </w:rPr>
                    <w:t>.</w:t>
                  </w:r>
                  <w:r>
                    <w:rPr>
                      <w:rFonts w:ascii="Times New Roman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D1D1D"/>
          <w:w w:val="85"/>
          <w:sz w:val="15"/>
        </w:rPr>
        <w:t>Foundation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140" w:lineRule="exact" w:before="121"/>
        <w:ind w:left="44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5E6480"/>
          <w:w w:val="120"/>
          <w:sz w:val="14"/>
        </w:rPr>
        <w:t>cancer</w:t>
      </w:r>
      <w:r>
        <w:rPr>
          <w:rFonts w:ascii="Arial"/>
          <w:sz w:val="14"/>
        </w:rPr>
      </w:r>
    </w:p>
    <w:p>
      <w:pPr>
        <w:spacing w:line="117" w:lineRule="exact" w:before="0"/>
        <w:ind w:left="44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5E6480"/>
          <w:w w:val="125"/>
          <w:sz w:val="12"/>
        </w:rPr>
        <w:t>Council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283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403.200012pt;margin-top:-18.701042pt;width:65.28pt;height:22.08pt;mso-position-horizontal-relative:page;mso-position-vertical-relative:paragraph;z-index:1144" type="#_x0000_t75" stroked="false">
            <v:imagedata r:id="rId6" o:title=""/>
          </v:shape>
        </w:pict>
      </w:r>
      <w:r>
        <w:rPr>
          <w:rFonts w:ascii="Arial"/>
          <w:color w:val="1D1D1D"/>
          <w:w w:val="105"/>
          <w:sz w:val="12"/>
        </w:rPr>
        <w:t>strokefounddtion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940" w:bottom="0" w:left="0" w:right="0"/>
          <w:cols w:num="3" w:equalWidth="0">
            <w:col w:w="5790" w:space="40"/>
            <w:col w:w="957" w:space="40"/>
            <w:col w:w="508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65"/>
        <w:ind w:right="1235"/>
        <w:jc w:val="left"/>
        <w:rPr>
          <w:b w:val="0"/>
          <w:bCs w:val="0"/>
        </w:rPr>
      </w:pPr>
      <w:r>
        <w:rPr>
          <w:color w:val="1D1D1D"/>
        </w:rPr>
        <w:t>Policy</w:t>
      </w:r>
      <w:r>
        <w:rPr>
          <w:color w:val="1D1D1D"/>
          <w:spacing w:val="23"/>
        </w:rPr>
        <w:t> </w:t>
      </w:r>
      <w:r>
        <w:rPr>
          <w:color w:val="1D1D1D"/>
        </w:rPr>
        <w:t>Position</w:t>
      </w:r>
      <w:r>
        <w:rPr>
          <w:b w:val="0"/>
        </w:rPr>
      </w:r>
    </w:p>
    <w:p>
      <w:pPr>
        <w:spacing w:line="256" w:lineRule="auto" w:before="135"/>
        <w:ind w:left="1752" w:right="1235" w:hanging="5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i/>
          <w:color w:val="1D1D1D"/>
          <w:sz w:val="27"/>
        </w:rPr>
        <w:t>Integrated risk assessment and management for heart, stroke</w:t>
      </w:r>
      <w:r>
        <w:rPr>
          <w:rFonts w:ascii="Arial"/>
          <w:b/>
          <w:i/>
          <w:color w:val="1D1D1D"/>
          <w:spacing w:val="63"/>
          <w:sz w:val="27"/>
        </w:rPr>
        <w:t> </w:t>
      </w:r>
      <w:r>
        <w:rPr>
          <w:rFonts w:ascii="Arial"/>
          <w:b/>
          <w:i/>
          <w:color w:val="1D1D1D"/>
          <w:sz w:val="27"/>
        </w:rPr>
        <w:t>and</w:t>
      </w:r>
      <w:r>
        <w:rPr>
          <w:rFonts w:ascii="Arial"/>
          <w:b/>
          <w:i/>
          <w:color w:val="1D1D1D"/>
          <w:w w:val="101"/>
          <w:sz w:val="27"/>
        </w:rPr>
        <w:t> </w:t>
      </w:r>
      <w:r>
        <w:rPr>
          <w:rFonts w:ascii="Arial"/>
          <w:b/>
          <w:i/>
          <w:color w:val="1D1D1D"/>
          <w:sz w:val="27"/>
        </w:rPr>
        <w:t>diabetes</w:t>
      </w:r>
      <w:r>
        <w:rPr>
          <w:rFonts w:ascii="Arial"/>
          <w:sz w:val="27"/>
        </w:rPr>
      </w:r>
    </w:p>
    <w:p>
      <w:pPr>
        <w:pStyle w:val="Heading2"/>
        <w:spacing w:line="240" w:lineRule="auto" w:before="210"/>
        <w:ind w:left="1752" w:right="1235"/>
        <w:jc w:val="left"/>
        <w:rPr>
          <w:b w:val="0"/>
          <w:bCs w:val="0"/>
        </w:rPr>
      </w:pPr>
      <w:r>
        <w:rPr>
          <w:color w:val="1D1D1D"/>
        </w:rPr>
        <w:t>Recommendation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9" w:lineRule="auto" w:before="0"/>
        <w:ind w:left="1742" w:right="1235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D1D1D"/>
          <w:w w:val="105"/>
          <w:sz w:val="20"/>
        </w:rPr>
        <w:t>The VCDPA recommends the introduction of a consistent and integrated approach to</w:t>
      </w:r>
      <w:r>
        <w:rPr>
          <w:rFonts w:ascii="Arial"/>
          <w:color w:val="1D1D1D"/>
          <w:spacing w:val="-1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assess</w:t>
      </w:r>
      <w:r>
        <w:rPr>
          <w:rFonts w:ascii="Arial"/>
          <w:color w:val="1D1D1D"/>
          <w:w w:val="104"/>
          <w:sz w:val="20"/>
        </w:rPr>
        <w:t> </w:t>
      </w:r>
      <w:r>
        <w:rPr>
          <w:rFonts w:ascii="Arial"/>
          <w:color w:val="1D1D1D"/>
          <w:w w:val="105"/>
          <w:sz w:val="20"/>
        </w:rPr>
        <w:t>and manage individuals most at risk of vascular disease.  This can be achieved</w:t>
      </w:r>
      <w:r>
        <w:rPr>
          <w:rFonts w:ascii="Arial"/>
          <w:color w:val="1D1D1D"/>
          <w:spacing w:val="-15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by: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2438" w:val="left" w:leader="none"/>
        </w:tabs>
        <w:spacing w:line="252" w:lineRule="auto" w:before="0" w:after="0"/>
        <w:ind w:left="2427" w:right="1547" w:hanging="33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D1D1D"/>
          <w:w w:val="105"/>
          <w:sz w:val="20"/>
        </w:rPr>
        <w:t>Encouraging the establishment and risk awareness and promotion programs</w:t>
      </w:r>
      <w:r>
        <w:rPr>
          <w:rFonts w:ascii="Arial"/>
          <w:color w:val="1D1D1D"/>
          <w:spacing w:val="12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in</w:t>
      </w:r>
      <w:r>
        <w:rPr>
          <w:rFonts w:ascii="Arial"/>
          <w:color w:val="1D1D1D"/>
          <w:w w:val="106"/>
          <w:sz w:val="20"/>
        </w:rPr>
        <w:t> </w:t>
      </w:r>
      <w:r>
        <w:rPr>
          <w:rFonts w:ascii="Arial"/>
          <w:color w:val="1D1D1D"/>
          <w:w w:val="105"/>
          <w:sz w:val="20"/>
        </w:rPr>
        <w:t>community settings (including in pharmacies and the workplace) to increase</w:t>
      </w:r>
      <w:r>
        <w:rPr>
          <w:rFonts w:ascii="Arial"/>
          <w:color w:val="1D1D1D"/>
          <w:spacing w:val="-5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the</w:t>
      </w:r>
      <w:r>
        <w:rPr>
          <w:rFonts w:ascii="Arial"/>
          <w:color w:val="1D1D1D"/>
          <w:w w:val="103"/>
          <w:sz w:val="20"/>
        </w:rPr>
        <w:t> </w:t>
      </w:r>
      <w:r>
        <w:rPr>
          <w:rFonts w:ascii="Arial"/>
          <w:color w:val="1D1D1D"/>
          <w:w w:val="105"/>
          <w:sz w:val="20"/>
        </w:rPr>
        <w:t>number of Victorians over 45 years who attend their GP for a full health</w:t>
      </w:r>
      <w:r>
        <w:rPr>
          <w:rFonts w:ascii="Arial"/>
          <w:color w:val="1D1D1D"/>
          <w:spacing w:val="-27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assessment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2438" w:val="left" w:leader="none"/>
        </w:tabs>
        <w:spacing w:line="249" w:lineRule="auto" w:before="0" w:after="0"/>
        <w:ind w:left="2427" w:right="1567" w:hanging="34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D1D1D"/>
          <w:w w:val="105"/>
          <w:sz w:val="20"/>
        </w:rPr>
        <w:t>Encouraging programs and policy that supports the use of an integrated health</w:t>
      </w:r>
      <w:r>
        <w:rPr>
          <w:rFonts w:ascii="Arial"/>
          <w:color w:val="1D1D1D"/>
          <w:spacing w:val="-10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check</w:t>
      </w:r>
      <w:r>
        <w:rPr>
          <w:rFonts w:ascii="Arial"/>
          <w:color w:val="1D1D1D"/>
          <w:w w:val="102"/>
          <w:sz w:val="20"/>
        </w:rPr>
        <w:t> </w:t>
      </w:r>
      <w:r>
        <w:rPr>
          <w:rFonts w:ascii="Arial"/>
          <w:color w:val="1D1D1D"/>
          <w:w w:val="105"/>
          <w:sz w:val="20"/>
        </w:rPr>
        <w:t>(CVD, CKD and diabetes) in the primary care</w:t>
      </w:r>
      <w:r>
        <w:rPr>
          <w:rFonts w:ascii="Arial"/>
          <w:color w:val="1D1D1D"/>
          <w:spacing w:val="39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setting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2433" w:val="left" w:leader="none"/>
        </w:tabs>
        <w:spacing w:line="249" w:lineRule="auto" w:before="0" w:after="0"/>
        <w:ind w:left="2427" w:right="1552" w:hanging="34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D1D1D"/>
          <w:w w:val="105"/>
          <w:sz w:val="20"/>
        </w:rPr>
        <w:t>Encouraging the establishment and implementation of integrated community</w:t>
      </w:r>
      <w:r>
        <w:rPr>
          <w:rFonts w:ascii="Arial"/>
          <w:color w:val="1D1D1D"/>
          <w:spacing w:val="36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based</w:t>
      </w:r>
      <w:r>
        <w:rPr>
          <w:rFonts w:ascii="Arial"/>
          <w:color w:val="1D1D1D"/>
          <w:w w:val="104"/>
          <w:sz w:val="20"/>
        </w:rPr>
        <w:t> </w:t>
      </w:r>
      <w:r>
        <w:rPr>
          <w:rFonts w:ascii="Arial"/>
          <w:color w:val="1D1D1D"/>
          <w:w w:val="105"/>
          <w:sz w:val="20"/>
        </w:rPr>
        <w:t>risk reduction for people at risk of vascular</w:t>
      </w:r>
      <w:r>
        <w:rPr>
          <w:rFonts w:ascii="Arial"/>
          <w:color w:val="1D1D1D"/>
          <w:spacing w:val="29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disease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line="249" w:lineRule="auto" w:before="0"/>
        <w:ind w:left="1733" w:right="1235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1D1D1D"/>
          <w:w w:val="105"/>
          <w:sz w:val="20"/>
        </w:rPr>
        <w:t>Figure 1: </w:t>
      </w:r>
      <w:r>
        <w:rPr>
          <w:rFonts w:ascii="Arial"/>
          <w:color w:val="1D1D1D"/>
          <w:w w:val="105"/>
          <w:sz w:val="20"/>
        </w:rPr>
        <w:t>The three phased approach optimises existing primary care resources and</w:t>
      </w:r>
      <w:r>
        <w:rPr>
          <w:rFonts w:ascii="Arial"/>
          <w:color w:val="1D1D1D"/>
          <w:spacing w:val="-37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existing</w:t>
      </w:r>
      <w:r>
        <w:rPr>
          <w:rFonts w:ascii="Arial"/>
          <w:color w:val="1D1D1D"/>
          <w:w w:val="103"/>
          <w:sz w:val="20"/>
        </w:rPr>
        <w:t> </w:t>
      </w:r>
      <w:r>
        <w:rPr>
          <w:rFonts w:ascii="Arial"/>
          <w:color w:val="1D1D1D"/>
          <w:w w:val="105"/>
          <w:sz w:val="20"/>
        </w:rPr>
        <w:t>evidence based approaches (taken from NVDPA draft position</w:t>
      </w:r>
      <w:r>
        <w:rPr>
          <w:rFonts w:ascii="Arial"/>
          <w:color w:val="1D1D1D"/>
          <w:spacing w:val="-6"/>
          <w:w w:val="105"/>
          <w:sz w:val="20"/>
        </w:rPr>
        <w:t> </w:t>
      </w:r>
      <w:r>
        <w:rPr>
          <w:rFonts w:ascii="Arial"/>
          <w:color w:val="1D1D1D"/>
          <w:w w:val="105"/>
          <w:sz w:val="20"/>
        </w:rPr>
        <w:t>paper).</w:t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7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3828"/>
        <w:gridCol w:w="2540"/>
      </w:tblGrid>
      <w:tr>
        <w:trPr>
          <w:trHeight w:val="467" w:hRule="exact"/>
        </w:trPr>
        <w:tc>
          <w:tcPr>
            <w:tcW w:w="2504" w:type="dxa"/>
            <w:tcBorders>
              <w:top w:val="single" w:sz="4" w:space="0" w:color="606B80"/>
              <w:left w:val="single" w:sz="6" w:space="0" w:color="4B87B8"/>
              <w:bottom w:val="single" w:sz="4" w:space="0" w:color="4B5B80"/>
              <w:right w:val="single" w:sz="6" w:space="0" w:color="4477A0"/>
            </w:tcBorders>
          </w:tcPr>
          <w:p>
            <w:pPr>
              <w:pStyle w:val="TableParagraph"/>
              <w:spacing w:line="240" w:lineRule="auto" w:before="123"/>
              <w:ind w:left="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1D1D1D"/>
                <w:w w:val="110"/>
                <w:sz w:val="18"/>
              </w:rPr>
              <w:t>Phase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828" w:type="dxa"/>
            <w:tcBorders>
              <w:top w:val="single" w:sz="4" w:space="0" w:color="606B80"/>
              <w:left w:val="single" w:sz="6" w:space="0" w:color="4477A0"/>
              <w:bottom w:val="single" w:sz="4" w:space="0" w:color="4B5B80"/>
              <w:right w:val="single" w:sz="6" w:space="0" w:color="3B7097"/>
            </w:tcBorders>
          </w:tcPr>
          <w:p>
            <w:pPr>
              <w:pStyle w:val="TableParagraph"/>
              <w:spacing w:line="240" w:lineRule="auto" w:before="128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1D1D1D"/>
                <w:w w:val="120"/>
                <w:sz w:val="18"/>
              </w:rPr>
              <w:t>ctivity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40" w:type="dxa"/>
            <w:tcBorders>
              <w:top w:val="single" w:sz="4" w:space="0" w:color="606B80"/>
              <w:left w:val="single" w:sz="6" w:space="0" w:color="3B7097"/>
              <w:bottom w:val="single" w:sz="4" w:space="0" w:color="4B5B80"/>
              <w:right w:val="single" w:sz="4" w:space="0" w:color="487093"/>
            </w:tcBorders>
          </w:tcPr>
          <w:p>
            <w:pPr>
              <w:pStyle w:val="TableParagraph"/>
              <w:spacing w:line="240" w:lineRule="auto" w:before="128"/>
              <w:ind w:left="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S</w:t>
            </w:r>
            <w:r>
              <w:rPr>
                <w:rFonts w:ascii="Arial"/>
                <w:color w:val="1D1D1D"/>
                <w:w w:val="115"/>
                <w:sz w:val="18"/>
              </w:rPr>
              <w:t>etting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805" w:hRule="exact"/>
        </w:trPr>
        <w:tc>
          <w:tcPr>
            <w:tcW w:w="2504" w:type="dxa"/>
            <w:tcBorders>
              <w:top w:val="single" w:sz="4" w:space="0" w:color="4B5B80"/>
              <w:left w:val="single" w:sz="6" w:space="0" w:color="4B87B8"/>
              <w:bottom w:val="single" w:sz="6" w:space="0" w:color="4F678C"/>
              <w:right w:val="single" w:sz="6" w:space="0" w:color="4477A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7" w:lineRule="auto"/>
              <w:ind w:left="146" w:right="111" w:firstLine="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color w:val="447595"/>
                <w:w w:val="105"/>
                <w:sz w:val="19"/>
              </w:rPr>
              <w:t>Community</w:t>
            </w:r>
            <w:r>
              <w:rPr>
                <w:rFonts w:ascii="Arial"/>
                <w:i/>
                <w:color w:val="447595"/>
                <w:spacing w:val="14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447595"/>
                <w:w w:val="105"/>
                <w:sz w:val="19"/>
              </w:rPr>
              <w:t>based</w:t>
            </w:r>
            <w:r>
              <w:rPr>
                <w:rFonts w:ascii="Arial"/>
                <w:i/>
                <w:color w:val="447595"/>
                <w:spacing w:val="10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447595"/>
                <w:w w:val="105"/>
                <w:sz w:val="19"/>
              </w:rPr>
              <w:t>risk</w:t>
            </w:r>
            <w:r>
              <w:rPr>
                <w:rFonts w:ascii="Arial"/>
                <w:i/>
                <w:color w:val="447595"/>
                <w:spacing w:val="-49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447595"/>
                <w:spacing w:val="-49"/>
                <w:w w:val="105"/>
                <w:sz w:val="19"/>
              </w:rPr>
            </w:r>
            <w:r>
              <w:rPr>
                <w:rFonts w:ascii="Arial"/>
                <w:i/>
                <w:color w:val="447595"/>
                <w:w w:val="105"/>
                <w:sz w:val="19"/>
              </w:rPr>
              <w:t>detection</w:t>
            </w:r>
            <w:r>
              <w:rPr>
                <w:rFonts w:ascii="Arial"/>
                <w:i/>
                <w:color w:val="447595"/>
                <w:spacing w:val="18"/>
                <w:w w:val="105"/>
                <w:sz w:val="19"/>
              </w:rPr>
              <w:t> </w:t>
            </w:r>
            <w:r>
              <w:rPr>
                <w:rFonts w:ascii="Arial"/>
                <w:color w:val="447595"/>
                <w:w w:val="105"/>
                <w:sz w:val="19"/>
              </w:rPr>
              <w:t>&amp;</w:t>
            </w:r>
            <w:r>
              <w:rPr>
                <w:rFonts w:ascii="Arial"/>
                <w:color w:val="447595"/>
                <w:spacing w:val="2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447595"/>
                <w:w w:val="105"/>
                <w:sz w:val="19"/>
              </w:rPr>
              <w:t>awareness</w:t>
            </w:r>
            <w:r>
              <w:rPr>
                <w:rFonts w:ascii="Arial"/>
                <w:i/>
                <w:color w:val="447595"/>
                <w:spacing w:val="-49"/>
                <w:w w:val="105"/>
                <w:sz w:val="19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Raise awareness of</w:t>
            </w:r>
            <w:r>
              <w:rPr>
                <w:rFonts w:ascii="Arial"/>
                <w:color w:val="1D1D1D"/>
                <w:spacing w:val="-5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risk</w:t>
            </w:r>
            <w:r>
              <w:rPr>
                <w:rFonts w:ascii="Arial"/>
                <w:color w:val="1D1D1D"/>
                <w:w w:val="103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and the need for</w:t>
            </w:r>
            <w:r>
              <w:rPr>
                <w:rFonts w:ascii="Arial"/>
                <w:color w:val="1D1D1D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further</w:t>
            </w:r>
            <w:r>
              <w:rPr>
                <w:rFonts w:ascii="Arial"/>
                <w:color w:val="1D1D1D"/>
                <w:w w:val="103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investigation or</w:t>
            </w:r>
            <w:r>
              <w:rPr>
                <w:rFonts w:ascii="Arial"/>
                <w:color w:val="1D1D1D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action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28" w:type="dxa"/>
            <w:tcBorders>
              <w:top w:val="single" w:sz="4" w:space="0" w:color="4B5B80"/>
              <w:left w:val="single" w:sz="6" w:space="0" w:color="4477A0"/>
              <w:bottom w:val="single" w:sz="6" w:space="0" w:color="4F678C"/>
              <w:right w:val="single" w:sz="6" w:space="0" w:color="3B7097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05"/>
                <w:sz w:val="20"/>
              </w:rPr>
              <w:t>Community based programs and</w:t>
            </w:r>
            <w:r>
              <w:rPr>
                <w:rFonts w:ascii="Arial"/>
                <w:color w:val="1D1D1D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tools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9" w:lineRule="auto" w:before="9"/>
              <w:ind w:left="155" w:right="362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05"/>
                <w:sz w:val="20"/>
              </w:rPr>
              <w:t>e.g. AusDRISK and the Know</w:t>
            </w:r>
            <w:r>
              <w:rPr>
                <w:rFonts w:ascii="Arial"/>
                <w:color w:val="1D1D1D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Your</w:t>
            </w:r>
            <w:r>
              <w:rPr>
                <w:rFonts w:ascii="Arial"/>
                <w:color w:val="1D1D1D"/>
                <w:w w:val="102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Numbers</w:t>
            </w:r>
            <w:r>
              <w:rPr>
                <w:rFonts w:ascii="Arial"/>
                <w:color w:val="1D1D1D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program.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4" w:lineRule="auto"/>
              <w:ind w:left="136" w:right="260" w:firstLine="1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05"/>
                <w:sz w:val="20"/>
              </w:rPr>
              <w:t>Prompt referral to lifestyle</w:t>
            </w:r>
            <w:r>
              <w:rPr>
                <w:rFonts w:ascii="Arial"/>
                <w:color w:val="1D1D1D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behaviour</w:t>
            </w:r>
            <w:r>
              <w:rPr>
                <w:rFonts w:ascii="Arial"/>
                <w:color w:val="1D1D1D"/>
                <w:w w:val="103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change programs (e.g. Life!) and </w:t>
            </w:r>
            <w:r>
              <w:rPr>
                <w:rFonts w:ascii="Arial"/>
                <w:i/>
                <w:color w:val="1D1D1D"/>
                <w:w w:val="105"/>
                <w:sz w:val="21"/>
              </w:rPr>
              <w:t>I</w:t>
            </w:r>
            <w:r>
              <w:rPr>
                <w:rFonts w:ascii="Arial"/>
                <w:i/>
                <w:color w:val="1D1D1D"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or</w:t>
            </w:r>
            <w:r>
              <w:rPr>
                <w:rFonts w:ascii="Arial"/>
                <w:color w:val="1D1D1D"/>
                <w:w w:val="103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for a clinical risk</w:t>
            </w:r>
            <w:r>
              <w:rPr>
                <w:rFonts w:ascii="Arial"/>
                <w:color w:val="1D1D1D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assessment.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40" w:type="dxa"/>
            <w:tcBorders>
              <w:top w:val="single" w:sz="4" w:space="0" w:color="4B5B80"/>
              <w:left w:val="single" w:sz="6" w:space="0" w:color="3B7097"/>
              <w:bottom w:val="single" w:sz="6" w:space="0" w:color="4F678C"/>
              <w:right w:val="single" w:sz="4" w:space="0" w:color="487093"/>
            </w:tcBorders>
          </w:tcPr>
          <w:p>
            <w:pPr>
              <w:pStyle w:val="TableParagraph"/>
              <w:spacing w:line="242" w:lineRule="auto" w:before="78"/>
              <w:ind w:left="148" w:right="8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447595"/>
                <w:w w:val="105"/>
                <w:sz w:val="19"/>
              </w:rPr>
              <w:t>Primary</w:t>
            </w:r>
            <w:r>
              <w:rPr>
                <w:rFonts w:ascii="Arial"/>
                <w:i/>
                <w:color w:val="447595"/>
                <w:spacing w:val="20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447595"/>
                <w:w w:val="105"/>
                <w:sz w:val="19"/>
              </w:rPr>
              <w:t>care</w:t>
            </w:r>
            <w:r>
              <w:rPr>
                <w:rFonts w:ascii="Arial"/>
                <w:i/>
                <w:color w:val="447595"/>
                <w:spacing w:val="2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447595"/>
                <w:w w:val="105"/>
                <w:sz w:val="19"/>
              </w:rPr>
              <w:t>and</w:t>
            </w:r>
            <w:r>
              <w:rPr>
                <w:rFonts w:ascii="Arial"/>
                <w:i/>
                <w:color w:val="447595"/>
                <w:spacing w:val="-54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447595"/>
                <w:spacing w:val="-54"/>
                <w:w w:val="105"/>
                <w:sz w:val="19"/>
              </w:rPr>
            </w:r>
            <w:r>
              <w:rPr>
                <w:rFonts w:ascii="Arial"/>
                <w:i/>
                <w:color w:val="447595"/>
                <w:w w:val="105"/>
                <w:sz w:val="19"/>
              </w:rPr>
              <w:t>community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9" w:lineRule="auto" w:before="5"/>
              <w:ind w:left="143" w:right="97" w:firstLine="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05"/>
                <w:sz w:val="20"/>
              </w:rPr>
              <w:t>(e.g. workplaces,</w:t>
            </w:r>
            <w:r>
              <w:rPr>
                <w:rFonts w:ascii="Arial"/>
                <w:color w:val="1D1D1D"/>
                <w:spacing w:val="10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self-</w:t>
            </w:r>
            <w:r>
              <w:rPr>
                <w:rFonts w:ascii="Arial"/>
                <w:color w:val="1D1D1D"/>
                <w:w w:val="103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assessment,</w:t>
            </w:r>
            <w:r>
              <w:rPr>
                <w:rFonts w:ascii="Arial"/>
                <w:color w:val="1D1D1D"/>
                <w:spacing w:val="10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pharmacy,</w:t>
            </w:r>
            <w:r>
              <w:rPr>
                <w:rFonts w:ascii="Arial"/>
                <w:color w:val="1D1D1D"/>
                <w:w w:val="103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allied health,</w:t>
            </w:r>
            <w:r>
              <w:rPr>
                <w:rFonts w:ascii="Arial"/>
                <w:color w:val="1D1D1D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community</w:t>
            </w:r>
            <w:r>
              <w:rPr>
                <w:rFonts w:ascii="Arial"/>
                <w:color w:val="1D1D1D"/>
                <w:w w:val="102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organisations and</w:t>
            </w:r>
            <w:r>
              <w:rPr>
                <w:rFonts w:ascii="Arial"/>
                <w:color w:val="1D1D1D"/>
                <w:spacing w:val="-1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health</w:t>
            </w:r>
            <w:r>
              <w:rPr>
                <w:rFonts w:ascii="Arial"/>
                <w:color w:val="1D1D1D"/>
                <w:w w:val="103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services)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848" w:hRule="exact"/>
        </w:trPr>
        <w:tc>
          <w:tcPr>
            <w:tcW w:w="2504" w:type="dxa"/>
            <w:tcBorders>
              <w:top w:val="single" w:sz="6" w:space="0" w:color="4F678C"/>
              <w:left w:val="single" w:sz="6" w:space="0" w:color="4B87B8"/>
              <w:bottom w:val="single" w:sz="4" w:space="0" w:color="4B648C"/>
              <w:right w:val="single" w:sz="6" w:space="0" w:color="4477A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52" w:lineRule="auto"/>
              <w:ind w:left="146" w:right="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color w:val="447595"/>
                <w:w w:val="105"/>
                <w:sz w:val="19"/>
              </w:rPr>
              <w:t>Risk assessment</w:t>
            </w:r>
            <w:r>
              <w:rPr>
                <w:rFonts w:ascii="Arial"/>
                <w:i/>
                <w:color w:val="447595"/>
                <w:spacing w:val="-35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447595"/>
                <w:spacing w:val="-35"/>
                <w:w w:val="105"/>
                <w:sz w:val="19"/>
              </w:rPr>
            </w:r>
            <w:r>
              <w:rPr>
                <w:rFonts w:ascii="Arial"/>
                <w:color w:val="1D1D1D"/>
                <w:w w:val="105"/>
                <w:sz w:val="20"/>
              </w:rPr>
              <w:t>Determine degree of</w:t>
            </w:r>
            <w:r>
              <w:rPr>
                <w:rFonts w:ascii="Arial"/>
                <w:color w:val="1D1D1D"/>
                <w:spacing w:val="-6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risk</w:t>
            </w:r>
            <w:r>
              <w:rPr>
                <w:rFonts w:ascii="Arial"/>
                <w:color w:val="1D1D1D"/>
                <w:w w:val="104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and identify</w:t>
            </w:r>
            <w:r>
              <w:rPr>
                <w:rFonts w:ascii="Arial"/>
                <w:color w:val="1D1D1D"/>
                <w:spacing w:val="6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previously</w:t>
            </w:r>
            <w:r>
              <w:rPr>
                <w:rFonts w:ascii="Arial"/>
                <w:color w:val="1D1D1D"/>
                <w:w w:val="103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undetected</w:t>
            </w:r>
            <w:r>
              <w:rPr>
                <w:rFonts w:ascii="Arial"/>
                <w:color w:val="1D1D1D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disease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28" w:type="dxa"/>
            <w:tcBorders>
              <w:top w:val="single" w:sz="6" w:space="0" w:color="4F678C"/>
              <w:left w:val="single" w:sz="6" w:space="0" w:color="4477A0"/>
              <w:bottom w:val="single" w:sz="4" w:space="0" w:color="4B648C"/>
              <w:right w:val="single" w:sz="6" w:space="0" w:color="3B7097"/>
            </w:tcBorders>
          </w:tcPr>
          <w:p>
            <w:pPr>
              <w:pStyle w:val="TableParagraph"/>
              <w:spacing w:line="249" w:lineRule="auto" w:before="83"/>
              <w:ind w:left="141" w:right="233" w:firstLine="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05"/>
                <w:sz w:val="20"/>
              </w:rPr>
              <w:t>Integrated health assessments</w:t>
            </w:r>
            <w:r>
              <w:rPr>
                <w:rFonts w:ascii="Arial"/>
                <w:color w:val="1D1D1D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within</w:t>
            </w:r>
            <w:r>
              <w:rPr>
                <w:rFonts w:ascii="Arial"/>
                <w:color w:val="1D1D1D"/>
                <w:w w:val="102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general practice which</w:t>
            </w:r>
            <w:r>
              <w:rPr>
                <w:rFonts w:ascii="Arial"/>
                <w:color w:val="1D1D1D"/>
                <w:spacing w:val="29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include</w:t>
            </w:r>
            <w:r>
              <w:rPr>
                <w:rFonts w:ascii="Arial"/>
                <w:color w:val="333436"/>
                <w:w w:val="105"/>
                <w:sz w:val="20"/>
              </w:rPr>
              <w:t>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6" w:val="left" w:leader="none"/>
              </w:tabs>
              <w:spacing w:line="234" w:lineRule="exact" w:before="6" w:after="0"/>
              <w:ind w:left="486" w:right="236" w:hanging="3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10"/>
                <w:sz w:val="20"/>
              </w:rPr>
              <w:t>Diabetes</w:t>
            </w:r>
            <w:r>
              <w:rPr>
                <w:rFonts w:ascii="Arial"/>
                <w:color w:val="1D1D1D"/>
                <w:spacing w:val="-31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-</w:t>
            </w:r>
            <w:r>
              <w:rPr>
                <w:rFonts w:ascii="Arial"/>
                <w:color w:val="1D1D1D"/>
                <w:spacing w:val="-45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AUSDRISK</w:t>
            </w:r>
            <w:r>
              <w:rPr>
                <w:rFonts w:ascii="Arial"/>
                <w:color w:val="1D1D1D"/>
                <w:spacing w:val="-3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(+/-</w:t>
            </w:r>
            <w:r>
              <w:rPr>
                <w:rFonts w:ascii="Arial"/>
                <w:color w:val="1D1D1D"/>
                <w:spacing w:val="-23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blood</w:t>
            </w:r>
            <w:r>
              <w:rPr>
                <w:rFonts w:ascii="Arial"/>
                <w:color w:val="1D1D1D"/>
                <w:w w:val="104"/>
                <w:sz w:val="20"/>
              </w:rPr>
              <w:t> </w:t>
            </w:r>
            <w:r>
              <w:rPr>
                <w:rFonts w:ascii="Arial"/>
                <w:color w:val="1D1D1D"/>
                <w:w w:val="115"/>
                <w:sz w:val="20"/>
              </w:rPr>
              <w:t>glucose</w:t>
            </w:r>
            <w:r>
              <w:rPr>
                <w:rFonts w:ascii="Arial"/>
                <w:color w:val="1D1D1D"/>
                <w:spacing w:val="-5"/>
                <w:w w:val="115"/>
                <w:sz w:val="20"/>
              </w:rPr>
              <w:t> </w:t>
            </w:r>
            <w:r>
              <w:rPr>
                <w:rFonts w:ascii="Arial"/>
                <w:color w:val="1D1D1D"/>
                <w:w w:val="115"/>
                <w:sz w:val="20"/>
              </w:rPr>
              <w:t>tests)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1" w:val="left" w:leader="none"/>
              </w:tabs>
              <w:spacing w:line="244" w:lineRule="auto" w:before="0" w:after="0"/>
              <w:ind w:left="490" w:right="584" w:hanging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05"/>
                <w:sz w:val="20"/>
              </w:rPr>
              <w:t>CKD - Serum creatinine</w:t>
            </w:r>
            <w:r>
              <w:rPr>
                <w:rFonts w:ascii="Arial"/>
                <w:color w:val="1D1D1D"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and</w:t>
            </w:r>
            <w:r>
              <w:rPr>
                <w:rFonts w:ascii="Arial"/>
                <w:color w:val="1D1D1D"/>
                <w:w w:val="104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urinary</w:t>
            </w:r>
            <w:r>
              <w:rPr>
                <w:rFonts w:ascii="Arial"/>
                <w:color w:val="1D1D1D"/>
                <w:spacing w:val="5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albumin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7" w:val="left" w:leader="none"/>
              </w:tabs>
              <w:spacing w:line="245" w:lineRule="exact" w:before="0" w:after="0"/>
              <w:ind w:left="486" w:right="0" w:hanging="3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05"/>
                <w:sz w:val="20"/>
              </w:rPr>
              <w:t>CVD - Absolute risk</w:t>
            </w:r>
            <w:r>
              <w:rPr>
                <w:rFonts w:ascii="Arial"/>
                <w:color w:val="1D1D1D"/>
                <w:spacing w:val="-3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assessment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40" w:type="dxa"/>
            <w:vMerge w:val="restart"/>
            <w:tcBorders>
              <w:top w:val="single" w:sz="6" w:space="0" w:color="4F678C"/>
              <w:left w:val="single" w:sz="6" w:space="0" w:color="3B7097"/>
              <w:right w:val="single" w:sz="4" w:space="0" w:color="4870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447595"/>
                <w:w w:val="105"/>
                <w:sz w:val="19"/>
              </w:rPr>
              <w:t>General</w:t>
            </w:r>
            <w:r>
              <w:rPr>
                <w:rFonts w:ascii="Arial"/>
                <w:i/>
                <w:color w:val="447595"/>
                <w:spacing w:val="7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447595"/>
                <w:w w:val="105"/>
                <w:sz w:val="19"/>
              </w:rPr>
              <w:t>practice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1249" w:hRule="exact"/>
        </w:trPr>
        <w:tc>
          <w:tcPr>
            <w:tcW w:w="2504" w:type="dxa"/>
            <w:vMerge w:val="restart"/>
            <w:tcBorders>
              <w:top w:val="single" w:sz="4" w:space="0" w:color="4B648C"/>
              <w:left w:val="single" w:sz="6" w:space="0" w:color="4B87B8"/>
              <w:right w:val="single" w:sz="6" w:space="0" w:color="4477A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9"/>
              <w:ind w:left="13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447595"/>
                <w:w w:val="105"/>
                <w:sz w:val="19"/>
              </w:rPr>
              <w:t>Management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54" w:lineRule="auto" w:before="7"/>
              <w:ind w:left="131" w:right="36" w:firstLine="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05"/>
                <w:sz w:val="20"/>
              </w:rPr>
              <w:t>Modification of</w:t>
            </w:r>
            <w:r>
              <w:rPr>
                <w:rFonts w:ascii="Arial"/>
                <w:color w:val="1D1D1D"/>
                <w:spacing w:val="13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risk</w:t>
            </w:r>
            <w:r>
              <w:rPr>
                <w:rFonts w:ascii="Arial"/>
                <w:color w:val="1D1D1D"/>
                <w:w w:val="104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factors and</w:t>
            </w:r>
            <w:r>
              <w:rPr>
                <w:rFonts w:ascii="Arial"/>
                <w:color w:val="1D1D1D"/>
                <w:spacing w:val="-1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management</w:t>
            </w:r>
            <w:r>
              <w:rPr>
                <w:rFonts w:ascii="Arial"/>
                <w:color w:val="1D1D1D"/>
                <w:w w:val="103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of identified</w:t>
            </w:r>
            <w:r>
              <w:rPr>
                <w:rFonts w:ascii="Arial"/>
                <w:color w:val="1D1D1D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disease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28" w:type="dxa"/>
            <w:tcBorders>
              <w:top w:val="single" w:sz="4" w:space="0" w:color="4B648C"/>
              <w:left w:val="single" w:sz="6" w:space="0" w:color="4477A0"/>
              <w:bottom w:val="single" w:sz="2" w:space="0" w:color="3B74A0"/>
              <w:right w:val="single" w:sz="6" w:space="0" w:color="3B7097"/>
            </w:tcBorders>
          </w:tcPr>
          <w:p>
            <w:pPr>
              <w:pStyle w:val="TableParagraph"/>
              <w:spacing w:line="249" w:lineRule="auto" w:before="88"/>
              <w:ind w:left="136" w:right="249" w:firstLine="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10"/>
                <w:sz w:val="20"/>
              </w:rPr>
              <w:t>Disease</w:t>
            </w:r>
            <w:r>
              <w:rPr>
                <w:rFonts w:ascii="Arial"/>
                <w:color w:val="1D1D1D"/>
                <w:spacing w:val="-32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management</w:t>
            </w:r>
            <w:r>
              <w:rPr>
                <w:rFonts w:ascii="Arial"/>
                <w:color w:val="1D1D1D"/>
                <w:spacing w:val="-27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pathways</w:t>
            </w:r>
            <w:r>
              <w:rPr>
                <w:rFonts w:ascii="Arial"/>
                <w:color w:val="1D1D1D"/>
                <w:spacing w:val="-31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for</w:t>
            </w:r>
            <w:r>
              <w:rPr>
                <w:rFonts w:ascii="Arial"/>
                <w:color w:val="1D1D1D"/>
                <w:w w:val="103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identified</w:t>
            </w:r>
            <w:r>
              <w:rPr>
                <w:rFonts w:ascii="Arial"/>
                <w:color w:val="1D1D1D"/>
                <w:spacing w:val="-37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disease:</w:t>
            </w:r>
            <w:r>
              <w:rPr>
                <w:rFonts w:ascii="Arial"/>
                <w:color w:val="1D1D1D"/>
                <w:spacing w:val="-39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treatment</w:t>
            </w:r>
            <w:r>
              <w:rPr>
                <w:rFonts w:ascii="Arial"/>
                <w:color w:val="1D1D1D"/>
                <w:spacing w:val="-36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and</w:t>
            </w:r>
            <w:r>
              <w:rPr>
                <w:rFonts w:ascii="Arial"/>
                <w:color w:val="1D1D1D"/>
                <w:spacing w:val="-39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risk</w:t>
            </w:r>
            <w:r>
              <w:rPr>
                <w:rFonts w:ascii="Arial"/>
                <w:color w:val="1D1D1D"/>
                <w:w w:val="104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reduction</w:t>
            </w:r>
            <w:r>
              <w:rPr>
                <w:rFonts w:ascii="Arial"/>
                <w:color w:val="1D1D1D"/>
                <w:spacing w:val="-22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spacing w:val="-8"/>
                <w:w w:val="110"/>
                <w:sz w:val="20"/>
              </w:rPr>
              <w:t>in</w:t>
            </w:r>
            <w:r>
              <w:rPr>
                <w:rFonts w:ascii="Arial"/>
                <w:color w:val="1D1D1D"/>
                <w:spacing w:val="-37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accordance</w:t>
            </w:r>
            <w:r>
              <w:rPr>
                <w:rFonts w:ascii="Arial"/>
                <w:color w:val="1D1D1D"/>
                <w:spacing w:val="-19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with</w:t>
            </w:r>
            <w:r>
              <w:rPr>
                <w:rFonts w:ascii="Arial"/>
                <w:color w:val="1D1D1D"/>
                <w:spacing w:val="-26"/>
                <w:w w:val="110"/>
                <w:sz w:val="20"/>
              </w:rPr>
              <w:t> </w:t>
            </w:r>
            <w:r>
              <w:rPr>
                <w:rFonts w:ascii="Arial"/>
                <w:color w:val="1D1D1D"/>
                <w:w w:val="110"/>
                <w:sz w:val="20"/>
              </w:rPr>
              <w:t>clinical</w:t>
            </w:r>
            <w:r>
              <w:rPr>
                <w:rFonts w:ascii="Arial"/>
                <w:color w:val="1D1D1D"/>
                <w:w w:val="107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guidelines, referral and</w:t>
            </w:r>
            <w:r>
              <w:rPr>
                <w:rFonts w:ascii="Arial"/>
                <w:color w:val="1D1D1D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follow-up.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40" w:type="dxa"/>
            <w:vMerge/>
            <w:tcBorders>
              <w:left w:val="single" w:sz="6" w:space="0" w:color="3B7097"/>
              <w:bottom w:val="single" w:sz="2" w:space="0" w:color="3B74A0"/>
              <w:right w:val="single" w:sz="4" w:space="0" w:color="487093"/>
            </w:tcBorders>
          </w:tcPr>
          <w:p>
            <w:pPr/>
          </w:p>
        </w:tc>
      </w:tr>
      <w:tr>
        <w:trPr>
          <w:trHeight w:val="779" w:hRule="exact"/>
        </w:trPr>
        <w:tc>
          <w:tcPr>
            <w:tcW w:w="2504" w:type="dxa"/>
            <w:vMerge/>
            <w:tcBorders>
              <w:left w:val="single" w:sz="6" w:space="0" w:color="4B87B8"/>
              <w:bottom w:val="single" w:sz="4" w:space="0" w:color="4F678C"/>
              <w:right w:val="single" w:sz="6" w:space="0" w:color="4477A0"/>
            </w:tcBorders>
          </w:tcPr>
          <w:p>
            <w:pPr/>
          </w:p>
        </w:tc>
        <w:tc>
          <w:tcPr>
            <w:tcW w:w="3828" w:type="dxa"/>
            <w:tcBorders>
              <w:top w:val="single" w:sz="2" w:space="0" w:color="3B74A0"/>
              <w:left w:val="single" w:sz="6" w:space="0" w:color="4477A0"/>
              <w:bottom w:val="single" w:sz="8" w:space="0" w:color="4F678C"/>
              <w:right w:val="single" w:sz="6" w:space="0" w:color="3B7097"/>
            </w:tcBorders>
          </w:tcPr>
          <w:p>
            <w:pPr>
              <w:pStyle w:val="TableParagraph"/>
              <w:spacing w:line="208" w:lineRule="exact"/>
              <w:ind w:left="141" w:right="0" w:firstLine="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05"/>
                <w:sz w:val="20"/>
              </w:rPr>
              <w:t>Immediate referral to</w:t>
            </w:r>
            <w:r>
              <w:rPr>
                <w:rFonts w:ascii="Arial"/>
                <w:color w:val="1D1D1D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lifestyle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9" w:lineRule="auto" w:before="9"/>
              <w:ind w:left="136" w:right="378" w:firstLine="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D1D1D"/>
                <w:w w:val="105"/>
                <w:sz w:val="20"/>
              </w:rPr>
              <w:t>management programs suited</w:t>
            </w:r>
            <w:r>
              <w:rPr>
                <w:rFonts w:ascii="Arial"/>
                <w:color w:val="1D1D1D"/>
                <w:spacing w:val="5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to</w:t>
            </w:r>
            <w:r>
              <w:rPr>
                <w:rFonts w:ascii="Arial"/>
                <w:color w:val="1D1D1D"/>
                <w:w w:val="104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diagnosis and evidence for</w:t>
            </w:r>
            <w:r>
              <w:rPr>
                <w:rFonts w:ascii="Arial"/>
                <w:color w:val="1D1D1D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color w:val="1D1D1D"/>
                <w:w w:val="105"/>
                <w:sz w:val="20"/>
              </w:rPr>
              <w:t>change.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40" w:type="dxa"/>
            <w:tcBorders>
              <w:top w:val="single" w:sz="2" w:space="0" w:color="3B74A0"/>
              <w:left w:val="single" w:sz="6" w:space="0" w:color="3B7097"/>
              <w:bottom w:val="single" w:sz="4" w:space="0" w:color="4F678C"/>
              <w:right w:val="single" w:sz="4" w:space="0" w:color="487093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447595"/>
                <w:w w:val="105"/>
                <w:sz w:val="19"/>
              </w:rPr>
              <w:t>Community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spacing w:line="20" w:lineRule="exact"/>
        <w:ind w:left="167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4.8pt;height:.5pt;mso-position-horizontal-relative:char;mso-position-vertical-relative:line" coordorigin="0,0" coordsize="8696,10">
            <v:group style="position:absolute;left:5;top:5;width:8687;height:2" coordorigin="5,5" coordsize="8687,2">
              <v:shape style="position:absolute;left:5;top:5;width:8687;height:2" coordorigin="5,5" coordsize="8687,0" path="m5,5l8691,5e" filled="false" stroked="true" strokeweight=".478842pt" strokecolor="#2f2f2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83" w:lineRule="exact" w:before="0"/>
        <w:ind w:left="1709" w:right="123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1D1D1D"/>
          <w:w w:val="105"/>
          <w:sz w:val="18"/>
        </w:rPr>
        <w:t>Address for</w:t>
      </w:r>
      <w:r>
        <w:rPr>
          <w:rFonts w:ascii="Arial"/>
          <w:color w:val="1D1D1D"/>
          <w:spacing w:val="-41"/>
          <w:w w:val="105"/>
          <w:sz w:val="18"/>
        </w:rPr>
        <w:t> </w:t>
      </w:r>
      <w:r>
        <w:rPr>
          <w:rFonts w:ascii="Arial"/>
          <w:color w:val="1D1D1D"/>
          <w:w w:val="105"/>
          <w:sz w:val="18"/>
        </w:rPr>
        <w:t>correspondence:</w:t>
      </w:r>
      <w:r>
        <w:rPr>
          <w:rFonts w:ascii="Arial"/>
          <w:sz w:val="18"/>
        </w:rPr>
      </w:r>
    </w:p>
    <w:p>
      <w:pPr>
        <w:spacing w:before="0"/>
        <w:ind w:left="1714" w:right="556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D1D1D"/>
          <w:sz w:val="15"/>
        </w:rPr>
        <w:t>Craig Bennett</w:t>
      </w:r>
      <w:r>
        <w:rPr>
          <w:rFonts w:ascii="Arial"/>
          <w:color w:val="333436"/>
          <w:sz w:val="15"/>
        </w:rPr>
        <w:t>: </w:t>
      </w:r>
      <w:r>
        <w:rPr>
          <w:rFonts w:ascii="Arial"/>
          <w:color w:val="1D1D1D"/>
          <w:sz w:val="15"/>
        </w:rPr>
        <w:t>Chair, Victorian Chronic Disease Prevention</w:t>
      </w:r>
      <w:r>
        <w:rPr>
          <w:rFonts w:ascii="Arial"/>
          <w:color w:val="1D1D1D"/>
          <w:spacing w:val="21"/>
          <w:sz w:val="15"/>
        </w:rPr>
        <w:t> </w:t>
      </w:r>
      <w:r>
        <w:rPr>
          <w:rFonts w:ascii="Arial"/>
          <w:color w:val="1D1D1D"/>
          <w:sz w:val="15"/>
        </w:rPr>
        <w:t>Alliance</w:t>
      </w:r>
      <w:r>
        <w:rPr>
          <w:rFonts w:ascii="Arial"/>
          <w:color w:val="1D1D1D"/>
          <w:w w:val="99"/>
          <w:sz w:val="15"/>
        </w:rPr>
        <w:t> </w:t>
      </w:r>
      <w:r>
        <w:rPr>
          <w:rFonts w:ascii="Arial"/>
          <w:color w:val="1D1D1D"/>
          <w:sz w:val="15"/>
        </w:rPr>
        <w:t>570 Elizabeth St</w:t>
      </w:r>
      <w:r>
        <w:rPr>
          <w:rFonts w:ascii="Arial"/>
          <w:color w:val="333436"/>
          <w:sz w:val="15"/>
        </w:rPr>
        <w:t>r</w:t>
      </w:r>
      <w:r>
        <w:rPr>
          <w:rFonts w:ascii="Arial"/>
          <w:color w:val="1D1D1D"/>
          <w:sz w:val="15"/>
        </w:rPr>
        <w:t>eet MELBOURNE VIC </w:t>
      </w:r>
      <w:r>
        <w:rPr>
          <w:rFonts w:ascii="Arial"/>
          <w:color w:val="1D1D1D"/>
          <w:spacing w:val="4"/>
          <w:sz w:val="15"/>
        </w:rPr>
        <w:t> </w:t>
      </w:r>
      <w:r>
        <w:rPr>
          <w:rFonts w:ascii="Arial"/>
          <w:color w:val="1D1D1D"/>
          <w:sz w:val="15"/>
        </w:rPr>
        <w:t>3000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tabs>
          <w:tab w:pos="6751" w:val="left" w:leader="none"/>
        </w:tabs>
        <w:spacing w:line="33" w:lineRule="exact"/>
        <w:ind w:left="31" w:right="0" w:firstLine="0"/>
        <w:rPr>
          <w:rFonts w:ascii="Arial" w:hAnsi="Arial" w:cs="Arial" w:eastAsia="Arial"/>
          <w:sz w:val="2"/>
          <w:szCs w:val="2"/>
        </w:rPr>
      </w:pPr>
      <w:r>
        <w:rPr/>
        <w:tab/>
      </w:r>
      <w:r>
        <w:rPr>
          <w:rFonts w:ascii="Arial"/>
          <w:position w:val="2"/>
          <w:sz w:val="2"/>
        </w:rPr>
        <w:pict>
          <v:group style="width:56.3pt;height:.5pt;mso-position-horizontal-relative:char;mso-position-vertical-relative:line" coordorigin="0,0" coordsize="1126,10">
            <v:group style="position:absolute;left:5;top:5;width:1116;height:2" coordorigin="5,5" coordsize="1116,2">
              <v:shape style="position:absolute;left:5;top:5;width:1116;height:2" coordorigin="5,5" coordsize="1116,0" path="m5,5l1120,5e" filled="false" stroked="true" strokeweight=".478842pt" strokecolor="#d8c8bf">
                <v:path arrowok="t"/>
              </v:shape>
            </v:group>
          </v:group>
        </w:pict>
      </w:r>
      <w:r>
        <w:rPr>
          <w:rFonts w:ascii="Arial"/>
          <w:position w:val="2"/>
          <w:sz w:val="2"/>
        </w:rPr>
      </w:r>
      <w:r>
        <w:rPr>
          <w:rFonts w:ascii="Times New Roman"/>
          <w:spacing w:val="84"/>
          <w:position w:val="2"/>
          <w:sz w:val="2"/>
        </w:rPr>
        <w:t> </w:t>
      </w:r>
      <w:r>
        <w:rPr>
          <w:rFonts w:ascii="Arial"/>
          <w:spacing w:val="84"/>
          <w:position w:val="1"/>
          <w:sz w:val="2"/>
        </w:rPr>
        <w:pict>
          <v:group style="width:193.25pt;height:.75pt;mso-position-horizontal-relative:char;mso-position-vertical-relative:line" coordorigin="0,0" coordsize="3865,15">
            <v:group style="position:absolute;left:7;top:7;width:3850;height:2" coordorigin="7,7" coordsize="3850,2">
              <v:shape style="position:absolute;left:7;top:7;width:3850;height:2" coordorigin="7,7" coordsize="3850,0" path="m7,7l3857,7e" filled="false" stroked="true" strokeweight=".718262pt" strokecolor="#d8c8bc">
                <v:path arrowok="t"/>
              </v:shape>
            </v:group>
          </v:group>
        </w:pict>
      </w:r>
      <w:r>
        <w:rPr>
          <w:rFonts w:ascii="Arial"/>
          <w:spacing w:val="84"/>
          <w:position w:val="1"/>
          <w:sz w:val="2"/>
        </w:rPr>
      </w:r>
      <w:r>
        <w:rPr>
          <w:rFonts w:ascii="Arial"/>
          <w:spacing w:val="84"/>
          <w:position w:val="0"/>
          <w:sz w:val="2"/>
        </w:rPr>
        <w:pict>
          <v:group style="width:323.25pt;height:.75pt;mso-position-horizontal-relative:char;mso-position-vertical-relative:line" coordorigin="0,0" coordsize="6465,15">
            <v:group style="position:absolute;left:7;top:7;width:6450;height:2" coordorigin="7,7" coordsize="6450,2">
              <v:shape style="position:absolute;left:7;top:7;width:6450;height:2" coordorigin="7,7" coordsize="6450,0" path="m7,7l6457,7e" filled="false" stroked="true" strokeweight=".718262pt" strokecolor="#dbcfc3">
                <v:path arrowok="t"/>
              </v:shape>
            </v:group>
          </v:group>
        </w:pict>
      </w:r>
      <w:r>
        <w:rPr>
          <w:rFonts w:ascii="Arial"/>
          <w:spacing w:val="84"/>
          <w:position w:val="0"/>
          <w:sz w:val="2"/>
        </w:rPr>
      </w:r>
    </w:p>
    <w:p>
      <w:pPr>
        <w:spacing w:after="0" w:line="33" w:lineRule="exact"/>
        <w:rPr>
          <w:rFonts w:ascii="Arial" w:hAnsi="Arial" w:cs="Arial" w:eastAsia="Arial"/>
          <w:sz w:val="2"/>
          <w:szCs w:val="2"/>
        </w:rPr>
        <w:sectPr>
          <w:type w:val="continuous"/>
          <w:pgSz w:w="11910" w:h="16840"/>
          <w:pgMar w:top="940" w:bottom="0" w:left="0" w:right="0"/>
        </w:sectPr>
      </w:pP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p>
      <w:pPr>
        <w:spacing w:line="38" w:lineRule="exact"/>
        <w:ind w:left="755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position w:val="0"/>
          <w:sz w:val="2"/>
        </w:rPr>
        <w:pict>
          <v:group style="width:76.6pt;height:1pt;mso-position-horizontal-relative:char;mso-position-vertical-relative:line" coordorigin="0,0" coordsize="1532,20">
            <v:group style="position:absolute;left:10;top:10;width:1512;height:2" coordorigin="10,10" coordsize="1512,2">
              <v:shape style="position:absolute;left:10;top:10;width:1512;height:2" coordorigin="10,10" coordsize="1512,0" path="m10,10l1522,10e" filled="false" stroked="true" strokeweight=".96pt" strokecolor="#dfcfc8">
                <v:path arrowok="t"/>
              </v:shape>
            </v:group>
          </v:group>
        </w:pict>
      </w:r>
      <w:r>
        <w:rPr>
          <w:rFonts w:ascii="Arial"/>
          <w:position w:val="0"/>
          <w:sz w:val="2"/>
        </w:rPr>
      </w:r>
      <w:r>
        <w:rPr>
          <w:rFonts w:ascii="Times New Roman"/>
          <w:spacing w:val="58"/>
          <w:position w:val="0"/>
          <w:sz w:val="2"/>
        </w:rPr>
        <w:t> </w:t>
      </w:r>
      <w:r>
        <w:rPr>
          <w:rFonts w:ascii="Arial"/>
          <w:spacing w:val="58"/>
          <w:position w:val="1"/>
          <w:sz w:val="2"/>
        </w:rPr>
        <w:pict>
          <v:group style="width:131.8pt;height:1.2pt;mso-position-horizontal-relative:char;mso-position-vertical-relative:line" coordorigin="0,0" coordsize="2636,24">
            <v:group style="position:absolute;left:12;top:12;width:2612;height:2" coordorigin="12,12" coordsize="2612,2">
              <v:shape style="position:absolute;left:12;top:12;width:2612;height:2" coordorigin="12,12" coordsize="2612,0" path="m12,12l2623,12e" filled="false" stroked="true" strokeweight="1.2pt" strokecolor="#dfcfc8">
                <v:path arrowok="t"/>
              </v:shape>
            </v:group>
          </v:group>
        </w:pict>
      </w:r>
      <w:r>
        <w:rPr>
          <w:rFonts w:ascii="Arial"/>
          <w:spacing w:val="58"/>
          <w:position w:val="1"/>
          <w:sz w:val="2"/>
        </w:rPr>
      </w:r>
    </w:p>
    <w:p>
      <w:pPr>
        <w:spacing w:line="20" w:lineRule="exact"/>
        <w:ind w:left="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25.55pt;height:1pt;mso-position-horizontal-relative:char;mso-position-vertical-relative:line" coordorigin="0,0" coordsize="2511,20">
            <v:group style="position:absolute;left:10;top:10;width:2492;height:2" coordorigin="10,10" coordsize="2492,2">
              <v:shape style="position:absolute;left:10;top:10;width:2492;height:2" coordorigin="10,10" coordsize="2492,0" path="m10,10l2501,10e" filled="false" stroked="true" strokeweight=".96pt" strokecolor="#dfcfc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64"/>
        <w:ind w:left="4248" w:right="123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1A1A1A"/>
          <w:sz w:val="28"/>
        </w:rPr>
        <w:t>Victorian  Chronic Disease Prevention</w:t>
      </w:r>
      <w:r>
        <w:rPr>
          <w:rFonts w:ascii="Arial"/>
          <w:b/>
          <w:color w:val="1A1A1A"/>
          <w:spacing w:val="21"/>
          <w:sz w:val="28"/>
        </w:rPr>
        <w:t> </w:t>
      </w:r>
      <w:r>
        <w:rPr>
          <w:rFonts w:ascii="Arial"/>
          <w:b/>
          <w:color w:val="1A1A1A"/>
          <w:sz w:val="28"/>
        </w:rPr>
        <w:t>Alliance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1A1A1A"/>
        </w:rPr>
        <w:t>What's  the problem?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52" w:lineRule="auto" w:before="0"/>
        <w:ind w:left="1608" w:right="1700" w:firstLine="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A1A1A"/>
          <w:sz w:val="21"/>
        </w:rPr>
        <w:t>Heart disease, stroke, diabetes together account for approximately one-quarter of</w:t>
      </w:r>
      <w:r>
        <w:rPr>
          <w:rFonts w:ascii="Arial"/>
          <w:color w:val="1A1A1A"/>
          <w:spacing w:val="18"/>
          <w:sz w:val="21"/>
        </w:rPr>
        <w:t> </w:t>
      </w:r>
      <w:r>
        <w:rPr>
          <w:rFonts w:ascii="Arial"/>
          <w:color w:val="1A1A1A"/>
          <w:sz w:val="21"/>
        </w:rPr>
        <w:t>the</w:t>
      </w:r>
      <w:r>
        <w:rPr>
          <w:rFonts w:ascii="Arial"/>
          <w:color w:val="1A1A1A"/>
          <w:w w:val="98"/>
          <w:sz w:val="21"/>
        </w:rPr>
        <w:t> </w:t>
      </w:r>
      <w:r>
        <w:rPr>
          <w:rFonts w:ascii="Arial"/>
          <w:color w:val="1A1A1A"/>
          <w:sz w:val="21"/>
        </w:rPr>
        <w:t>disease burden in Australia (1). These diseases are often collectively referred  to </w:t>
      </w:r>
      <w:r>
        <w:rPr>
          <w:rFonts w:ascii="Arial"/>
          <w:color w:val="1A1A1A"/>
          <w:spacing w:val="8"/>
          <w:sz w:val="21"/>
        </w:rPr>
        <w:t> </w:t>
      </w:r>
      <w:r>
        <w:rPr>
          <w:rFonts w:ascii="Arial"/>
          <w:color w:val="1A1A1A"/>
          <w:sz w:val="21"/>
        </w:rPr>
        <w:t>as</w:t>
      </w:r>
      <w:r>
        <w:rPr>
          <w:rFonts w:ascii="Arial"/>
          <w:color w:val="1A1A1A"/>
          <w:w w:val="98"/>
          <w:sz w:val="21"/>
        </w:rPr>
        <w:t> </w:t>
      </w:r>
      <w:r>
        <w:rPr>
          <w:rFonts w:ascii="Arial"/>
          <w:color w:val="1A1A1A"/>
          <w:sz w:val="20"/>
        </w:rPr>
        <w:t>'vascular  disease'  due to the damage they  cause to  blood vessels  and the </w:t>
      </w:r>
      <w:r>
        <w:rPr>
          <w:rFonts w:ascii="Arial"/>
          <w:color w:val="1A1A1A"/>
          <w:spacing w:val="6"/>
          <w:sz w:val="20"/>
        </w:rPr>
        <w:t> </w:t>
      </w:r>
      <w:r>
        <w:rPr>
          <w:rFonts w:ascii="Arial"/>
          <w:color w:val="1A1A1A"/>
          <w:sz w:val="20"/>
        </w:rPr>
        <w:t>heart.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598" w:right="1705" w:firstLine="19"/>
        <w:jc w:val="both"/>
      </w:pPr>
      <w:r>
        <w:rPr>
          <w:color w:val="1A1A1A"/>
        </w:rPr>
        <w:t>Each of these conditions share many risk factors and are often co-existing diseases.</w:t>
      </w:r>
      <w:r>
        <w:rPr>
          <w:color w:val="1A1A1A"/>
          <w:spacing w:val="41"/>
        </w:rPr>
        <w:t> </w:t>
      </w:r>
      <w:r>
        <w:rPr>
          <w:color w:val="1A1A1A"/>
        </w:rPr>
        <w:t>The</w:t>
      </w:r>
      <w:r>
        <w:rPr>
          <w:color w:val="1A1A1A"/>
          <w:w w:val="98"/>
        </w:rPr>
        <w:t> </w:t>
      </w:r>
      <w:r>
        <w:rPr>
          <w:color w:val="1A1A1A"/>
        </w:rPr>
        <w:t>majority of Australian adults over 25 years of age have at least one modifiable risk</w:t>
      </w:r>
      <w:r>
        <w:rPr>
          <w:color w:val="1A1A1A"/>
          <w:spacing w:val="31"/>
        </w:rPr>
        <w:t> </w:t>
      </w:r>
      <w:r>
        <w:rPr>
          <w:color w:val="1A1A1A"/>
        </w:rPr>
        <w:t>factor</w:t>
      </w:r>
      <w:r>
        <w:rPr>
          <w:color w:val="1A1A1A"/>
          <w:w w:val="97"/>
        </w:rPr>
        <w:t> </w:t>
      </w:r>
      <w:r>
        <w:rPr>
          <w:color w:val="1A1A1A"/>
        </w:rPr>
        <w:t>with, 64% having three or more modifiable risk factors (AHIW 2011, Health</w:t>
      </w:r>
      <w:r>
        <w:rPr>
          <w:color w:val="1A1A1A"/>
          <w:spacing w:val="-29"/>
        </w:rPr>
        <w:t> </w:t>
      </w:r>
      <w:r>
        <w:rPr>
          <w:color w:val="1A1A1A"/>
        </w:rPr>
        <w:t>Determinants).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603" w:right="1694" w:firstLine="9"/>
        <w:jc w:val="both"/>
      </w:pPr>
      <w:r>
        <w:rPr>
          <w:color w:val="1A1A1A"/>
        </w:rPr>
        <w:t>Lifestyle related risk factors include smoking, alcohol misuse, poor diet, and</w:t>
      </w:r>
      <w:r>
        <w:rPr>
          <w:color w:val="1A1A1A"/>
          <w:spacing w:val="-3"/>
        </w:rPr>
        <w:t> </w:t>
      </w:r>
      <w:r>
        <w:rPr>
          <w:color w:val="1A1A1A"/>
        </w:rPr>
        <w:t>inadequate</w:t>
      </w:r>
      <w:r>
        <w:rPr>
          <w:color w:val="1A1A1A"/>
          <w:w w:val="97"/>
        </w:rPr>
        <w:t> </w:t>
      </w:r>
      <w:r>
        <w:rPr>
          <w:color w:val="1A1A1A"/>
        </w:rPr>
        <w:t>physical activity. Biomedical risk factors include overweight and obesity, high </w:t>
      </w:r>
      <w:r>
        <w:rPr>
          <w:color w:val="1A1A1A"/>
          <w:spacing w:val="22"/>
        </w:rPr>
        <w:t> </w:t>
      </w:r>
      <w:r>
        <w:rPr>
          <w:color w:val="1A1A1A"/>
        </w:rPr>
        <w:t>blood</w:t>
      </w:r>
      <w:r>
        <w:rPr>
          <w:color w:val="1A1A1A"/>
          <w:w w:val="99"/>
        </w:rPr>
        <w:t> </w:t>
      </w:r>
      <w:r>
        <w:rPr>
          <w:color w:val="1A1A1A"/>
        </w:rPr>
        <w:t>pressure, raised cholesterols, and raised blood glucose levels. Lifestyle and biomedical</w:t>
      </w:r>
      <w:r>
        <w:rPr>
          <w:color w:val="1A1A1A"/>
          <w:spacing w:val="54"/>
        </w:rPr>
        <w:t> </w:t>
      </w:r>
      <w:r>
        <w:rPr>
          <w:color w:val="1A1A1A"/>
        </w:rPr>
        <w:t>risk</w:t>
      </w:r>
      <w:r>
        <w:rPr>
          <w:color w:val="1A1A1A"/>
          <w:w w:val="98"/>
        </w:rPr>
        <w:t> </w:t>
      </w:r>
      <w:r>
        <w:rPr>
          <w:color w:val="1A1A1A"/>
        </w:rPr>
        <w:t>factors are preventable and amenable to timely treatment. Risk factors that cannot</w:t>
      </w:r>
      <w:r>
        <w:rPr>
          <w:color w:val="1A1A1A"/>
          <w:spacing w:val="33"/>
        </w:rPr>
        <w:t> </w:t>
      </w:r>
      <w:r>
        <w:rPr>
          <w:color w:val="1A1A1A"/>
        </w:rPr>
        <w:t>be</w:t>
      </w:r>
      <w:r>
        <w:rPr>
          <w:color w:val="1A1A1A"/>
        </w:rPr>
        <w:t> changed include age, sex and genetics. Certain combinations of risk factors have</w:t>
      </w:r>
      <w:r>
        <w:rPr>
          <w:color w:val="1A1A1A"/>
          <w:spacing w:val="53"/>
        </w:rPr>
        <w:t> </w:t>
      </w:r>
      <w:r>
        <w:rPr>
          <w:color w:val="1A1A1A"/>
        </w:rPr>
        <w:t>a</w:t>
      </w:r>
      <w:r>
        <w:rPr>
          <w:color w:val="1A1A1A"/>
          <w:w w:val="98"/>
        </w:rPr>
        <w:t> </w:t>
      </w:r>
      <w:r>
        <w:rPr>
          <w:color w:val="1A1A1A"/>
        </w:rPr>
        <w:t>cumulative and negative impact on health, increasing the likelihood of disease</w:t>
      </w:r>
      <w:r>
        <w:rPr>
          <w:color w:val="1A1A1A"/>
          <w:spacing w:val="21"/>
        </w:rPr>
        <w:t> </w:t>
      </w:r>
      <w:r>
        <w:rPr>
          <w:color w:val="1A1A1A"/>
        </w:rPr>
        <w:t>development</w:t>
      </w:r>
      <w:r>
        <w:rPr>
          <w:color w:val="1A1A1A"/>
          <w:w w:val="97"/>
        </w:rPr>
        <w:t> </w:t>
      </w:r>
      <w:r>
        <w:rPr>
          <w:color w:val="1A1A1A"/>
        </w:rPr>
        <w:t>and progression. Given that risk factors and disease are often co-morbid, an approach to</w:t>
      </w:r>
      <w:r>
        <w:rPr>
          <w:color w:val="1A1A1A"/>
          <w:w w:val="100"/>
        </w:rPr>
        <w:t> </w:t>
      </w:r>
      <w:r>
        <w:rPr>
          <w:color w:val="1A1A1A"/>
        </w:rPr>
        <w:t>assess for all diseases at the same point in time is</w:t>
      </w:r>
      <w:r>
        <w:rPr>
          <w:color w:val="1A1A1A"/>
          <w:spacing w:val="-40"/>
        </w:rPr>
        <w:t> </w:t>
      </w:r>
      <w:r>
        <w:rPr>
          <w:color w:val="1A1A1A"/>
        </w:rPr>
        <w:t>warranted.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603" w:right="1695" w:firstLine="9"/>
        <w:jc w:val="both"/>
      </w:pPr>
      <w:r>
        <w:rPr>
          <w:color w:val="1A1A1A"/>
        </w:rPr>
        <w:t>Many high risk individuals are unaware of their risk status and are therefore unlikely</w:t>
      </w:r>
      <w:r>
        <w:rPr>
          <w:color w:val="1A1A1A"/>
          <w:spacing w:val="13"/>
        </w:rPr>
        <w:t> </w:t>
      </w:r>
      <w:r>
        <w:rPr>
          <w:color w:val="1A1A1A"/>
        </w:rPr>
        <w:t>to</w:t>
      </w:r>
      <w:r>
        <w:rPr>
          <w:color w:val="1A1A1A"/>
          <w:w w:val="97"/>
        </w:rPr>
        <w:t> </w:t>
      </w:r>
      <w:r>
        <w:rPr>
          <w:color w:val="1A1A1A"/>
        </w:rPr>
        <w:t>undergo comprehensive, absolute risk assessment in an unprompted manner  in</w:t>
      </w:r>
      <w:r>
        <w:rPr>
          <w:color w:val="1A1A1A"/>
          <w:spacing w:val="7"/>
        </w:rPr>
        <w:t> </w:t>
      </w:r>
      <w:r>
        <w:rPr>
          <w:color w:val="1A1A1A"/>
        </w:rPr>
        <w:t>primary</w:t>
      </w:r>
      <w:r>
        <w:rPr>
          <w:color w:val="1A1A1A"/>
          <w:w w:val="98"/>
        </w:rPr>
        <w:t> </w:t>
      </w:r>
      <w:r>
        <w:rPr>
          <w:color w:val="1A1A1A"/>
        </w:rPr>
        <w:t>care (Webster et al, 2009). Very few Australians are accessing current health </w:t>
      </w:r>
      <w:r>
        <w:rPr>
          <w:color w:val="1A1A1A"/>
          <w:spacing w:val="14"/>
        </w:rPr>
        <w:t> </w:t>
      </w:r>
      <w:r>
        <w:rPr>
          <w:color w:val="1A1A1A"/>
        </w:rPr>
        <w:t>checks</w:t>
      </w:r>
      <w:r>
        <w:rPr>
          <w:color w:val="1A1A1A"/>
          <w:w w:val="98"/>
        </w:rPr>
        <w:t> </w:t>
      </w:r>
      <w:r>
        <w:rPr>
          <w:color w:val="1A1A1A"/>
        </w:rPr>
        <w:t>(around 6% accessing the 45-49 year old well person health heck and 22% accessing the</w:t>
      </w:r>
      <w:r>
        <w:rPr>
          <w:color w:val="1A1A1A"/>
          <w:spacing w:val="-15"/>
        </w:rPr>
        <w:t> </w:t>
      </w:r>
      <w:r>
        <w:rPr>
          <w:color w:val="1A1A1A"/>
        </w:rPr>
        <w:t>75</w:t>
      </w:r>
      <w:r>
        <w:rPr>
          <w:color w:val="1A1A1A"/>
          <w:w w:val="98"/>
        </w:rPr>
        <w:t> </w:t>
      </w:r>
      <w:r>
        <w:rPr>
          <w:color w:val="1A1A1A"/>
        </w:rPr>
        <w:t>and over health check). As identified in Figure 1, Community based risk detection</w:t>
      </w:r>
      <w:r>
        <w:rPr>
          <w:color w:val="1A1A1A"/>
          <w:spacing w:val="49"/>
        </w:rPr>
        <w:t> </w:t>
      </w:r>
      <w:r>
        <w:rPr>
          <w:color w:val="1A1A1A"/>
          <w:sz w:val="20"/>
        </w:rPr>
        <w:t>&amp;</w:t>
      </w:r>
      <w:r>
        <w:rPr>
          <w:color w:val="1A1A1A"/>
          <w:w w:val="101"/>
          <w:sz w:val="20"/>
        </w:rPr>
        <w:t> </w:t>
      </w:r>
      <w:r>
        <w:rPr>
          <w:color w:val="1A1A1A"/>
        </w:rPr>
        <w:t>awareness have a role to play to raise awareness of risk and the need for</w:t>
      </w:r>
      <w:r>
        <w:rPr>
          <w:color w:val="1A1A1A"/>
          <w:spacing w:val="50"/>
        </w:rPr>
        <w:t> </w:t>
      </w:r>
      <w:r>
        <w:rPr>
          <w:color w:val="1A1A1A"/>
        </w:rPr>
        <w:t>further</w:t>
      </w:r>
      <w:r>
        <w:rPr>
          <w:color w:val="1A1A1A"/>
          <w:w w:val="98"/>
        </w:rPr>
        <w:t> </w:t>
      </w:r>
      <w:r>
        <w:rPr>
          <w:color w:val="1A1A1A"/>
        </w:rPr>
        <w:t>investigation or</w:t>
      </w:r>
      <w:r>
        <w:rPr>
          <w:color w:val="1A1A1A"/>
          <w:spacing w:val="-21"/>
        </w:rPr>
        <w:t> </w:t>
      </w:r>
      <w:r>
        <w:rPr>
          <w:color w:val="1A1A1A"/>
        </w:rPr>
        <w:t>action.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2" w:lineRule="auto"/>
        <w:ind w:left="1608" w:right="1701" w:hanging="10"/>
        <w:jc w:val="both"/>
      </w:pPr>
      <w:r>
        <w:rPr>
          <w:color w:val="1A1A1A"/>
        </w:rPr>
        <w:t>While allowing for variability, there is also a clear economic need for urgent investment in</w:t>
      </w:r>
      <w:r>
        <w:rPr>
          <w:color w:val="1A1A1A"/>
          <w:spacing w:val="-5"/>
        </w:rPr>
        <w:t> </w:t>
      </w:r>
      <w:r>
        <w:rPr>
          <w:color w:val="1A1A1A"/>
        </w:rPr>
        <w:t>the</w:t>
      </w:r>
      <w:r>
        <w:rPr>
          <w:color w:val="1A1A1A"/>
          <w:w w:val="98"/>
        </w:rPr>
        <w:t> </w:t>
      </w:r>
      <w:r>
        <w:rPr>
          <w:color w:val="1A1A1A"/>
        </w:rPr>
        <w:t>prevention of heart disease and stroke, chronic kidney disease and</w:t>
      </w:r>
      <w:r>
        <w:rPr>
          <w:color w:val="1A1A1A"/>
          <w:spacing w:val="-39"/>
        </w:rPr>
        <w:t> </w:t>
      </w:r>
      <w:r>
        <w:rPr>
          <w:color w:val="1A1A1A"/>
        </w:rPr>
        <w:t>diabetes:</w:t>
      </w:r>
      <w:r>
        <w:rPr/>
      </w:r>
    </w:p>
    <w:p>
      <w:pPr>
        <w:pStyle w:val="ListParagraph"/>
        <w:numPr>
          <w:ilvl w:val="1"/>
          <w:numId w:val="1"/>
        </w:numPr>
        <w:tabs>
          <w:tab w:pos="2520" w:val="left" w:leader="none"/>
        </w:tabs>
        <w:spacing w:line="242" w:lineRule="auto" w:before="10" w:after="0"/>
        <w:ind w:left="2510" w:right="1716" w:hanging="33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A1A1A"/>
          <w:sz w:val="21"/>
        </w:rPr>
        <w:t>Diabetes is estimated to cost $14.6 billion (in 2010 dollars) including</w:t>
      </w:r>
      <w:r>
        <w:rPr>
          <w:rFonts w:ascii="Arial"/>
          <w:color w:val="1A1A1A"/>
          <w:spacing w:val="8"/>
          <w:sz w:val="21"/>
        </w:rPr>
        <w:t> </w:t>
      </w:r>
      <w:r>
        <w:rPr>
          <w:rFonts w:ascii="Arial"/>
          <w:color w:val="1A1A1A"/>
          <w:sz w:val="21"/>
        </w:rPr>
        <w:t>non-health</w:t>
      </w:r>
      <w:r>
        <w:rPr>
          <w:rFonts w:ascii="Arial"/>
          <w:color w:val="1A1A1A"/>
          <w:w w:val="97"/>
          <w:sz w:val="21"/>
        </w:rPr>
        <w:t> </w:t>
      </w:r>
      <w:r>
        <w:rPr>
          <w:rFonts w:ascii="Arial"/>
          <w:color w:val="1A1A1A"/>
          <w:sz w:val="21"/>
        </w:rPr>
        <w:t>direct costs</w:t>
      </w:r>
      <w:r>
        <w:rPr>
          <w:rFonts w:ascii="Arial"/>
          <w:color w:val="1A1A1A"/>
          <w:spacing w:val="11"/>
          <w:sz w:val="21"/>
        </w:rPr>
        <w:t> </w:t>
      </w:r>
      <w:r>
        <w:rPr>
          <w:rFonts w:ascii="Arial"/>
          <w:color w:val="1A1A1A"/>
          <w:sz w:val="21"/>
        </w:rPr>
        <w:t>(5).</w:t>
      </w:r>
      <w:r>
        <w:rPr>
          <w:rFonts w:ascii="Arial"/>
          <w:sz w:val="21"/>
        </w:rPr>
      </w:r>
    </w:p>
    <w:p>
      <w:pPr>
        <w:pStyle w:val="ListParagraph"/>
        <w:numPr>
          <w:ilvl w:val="1"/>
          <w:numId w:val="1"/>
        </w:numPr>
        <w:tabs>
          <w:tab w:pos="2511" w:val="left" w:leader="none"/>
        </w:tabs>
        <w:spacing w:line="240" w:lineRule="exact" w:before="73" w:after="0"/>
        <w:ind w:left="2510" w:right="1716" w:hanging="336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1A1A1A"/>
          <w:sz w:val="21"/>
        </w:rPr>
        <w:t>Cardiovascular disease including heart disease and stroke is the most</w:t>
      </w:r>
      <w:r>
        <w:rPr>
          <w:rFonts w:ascii="Arial"/>
          <w:color w:val="1A1A1A"/>
          <w:spacing w:val="50"/>
          <w:sz w:val="21"/>
        </w:rPr>
        <w:t> </w:t>
      </w:r>
      <w:r>
        <w:rPr>
          <w:rFonts w:ascii="Arial"/>
          <w:color w:val="1A1A1A"/>
          <w:sz w:val="21"/>
        </w:rPr>
        <w:t>expensive</w:t>
      </w:r>
      <w:r>
        <w:rPr>
          <w:rFonts w:ascii="Arial"/>
          <w:color w:val="1A1A1A"/>
          <w:w w:val="98"/>
          <w:sz w:val="21"/>
        </w:rPr>
        <w:t> </w:t>
      </w:r>
      <w:r>
        <w:rPr>
          <w:rFonts w:ascii="Arial"/>
          <w:color w:val="1A1A1A"/>
          <w:sz w:val="21"/>
        </w:rPr>
        <w:t>disease group costing </w:t>
      </w:r>
      <w:r>
        <w:rPr>
          <w:rFonts w:ascii="Arial"/>
          <w:color w:val="1A1A1A"/>
          <w:spacing w:val="2"/>
          <w:sz w:val="21"/>
        </w:rPr>
        <w:t>$7.9bn </w:t>
      </w:r>
      <w:r>
        <w:rPr>
          <w:rFonts w:ascii="Arial"/>
          <w:color w:val="1A1A1A"/>
          <w:sz w:val="21"/>
        </w:rPr>
        <w:t>or </w:t>
      </w:r>
      <w:r>
        <w:rPr>
          <w:rFonts w:ascii="Arial"/>
          <w:color w:val="1A1A1A"/>
          <w:spacing w:val="-4"/>
          <w:sz w:val="21"/>
        </w:rPr>
        <w:t>11% </w:t>
      </w:r>
      <w:r>
        <w:rPr>
          <w:rFonts w:ascii="Arial"/>
          <w:color w:val="1A1A1A"/>
          <w:sz w:val="21"/>
        </w:rPr>
        <w:t>of direct healthcare expenditure a</w:t>
      </w:r>
      <w:r>
        <w:rPr>
          <w:rFonts w:ascii="Arial"/>
          <w:color w:val="1A1A1A"/>
          <w:spacing w:val="20"/>
          <w:sz w:val="21"/>
        </w:rPr>
        <w:t> </w:t>
      </w:r>
      <w:r>
        <w:rPr>
          <w:rFonts w:ascii="Arial"/>
          <w:color w:val="1A1A1A"/>
          <w:spacing w:val="3"/>
          <w:sz w:val="21"/>
        </w:rPr>
        <w:t>year</w:t>
      </w:r>
      <w:r>
        <w:rPr>
          <w:rFonts w:ascii="Arial"/>
          <w:color w:val="1A1A1A"/>
          <w:spacing w:val="3"/>
          <w:position w:val="10"/>
          <w:sz w:val="14"/>
        </w:rPr>
        <w:t>1</w:t>
      </w:r>
      <w:r>
        <w:rPr>
          <w:rFonts w:ascii="Arial"/>
          <w:spacing w:val="3"/>
          <w:sz w:val="14"/>
        </w:rPr>
      </w:r>
    </w:p>
    <w:p>
      <w:pPr>
        <w:pStyle w:val="ListParagraph"/>
        <w:numPr>
          <w:ilvl w:val="1"/>
          <w:numId w:val="1"/>
        </w:numPr>
        <w:tabs>
          <w:tab w:pos="2506" w:val="left" w:leader="none"/>
        </w:tabs>
        <w:spacing w:line="240" w:lineRule="exact" w:before="72" w:after="0"/>
        <w:ind w:left="2510" w:right="1716" w:hanging="336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/>
          <w:color w:val="1A1A1A"/>
          <w:sz w:val="21"/>
        </w:rPr>
        <w:t>The direct cost of heart attack is estimated to be 1.1bn per year and the total</w:t>
      </w:r>
      <w:r>
        <w:rPr>
          <w:rFonts w:ascii="Arial"/>
          <w:color w:val="1A1A1A"/>
          <w:spacing w:val="31"/>
          <w:sz w:val="21"/>
        </w:rPr>
        <w:t> </w:t>
      </w:r>
      <w:r>
        <w:rPr>
          <w:rFonts w:ascii="Arial"/>
          <w:color w:val="1A1A1A"/>
          <w:sz w:val="21"/>
        </w:rPr>
        <w:t>cost</w:t>
      </w:r>
      <w:r>
        <w:rPr>
          <w:rFonts w:ascii="Arial"/>
          <w:color w:val="1A1A1A"/>
          <w:w w:val="98"/>
          <w:sz w:val="21"/>
        </w:rPr>
        <w:t> </w:t>
      </w:r>
      <w:r>
        <w:rPr>
          <w:rFonts w:ascii="Arial"/>
          <w:color w:val="1A1A1A"/>
          <w:sz w:val="21"/>
        </w:rPr>
        <w:t>of acute coronary syndrome was estimated to be $18.3bn in</w:t>
      </w:r>
      <w:r>
        <w:rPr>
          <w:rFonts w:ascii="Arial"/>
          <w:color w:val="1A1A1A"/>
          <w:spacing w:val="55"/>
          <w:sz w:val="21"/>
        </w:rPr>
        <w:t> </w:t>
      </w:r>
      <w:r>
        <w:rPr>
          <w:rFonts w:ascii="Arial"/>
          <w:color w:val="1A1A1A"/>
          <w:sz w:val="21"/>
        </w:rPr>
        <w:t>2010</w:t>
      </w:r>
      <w:r>
        <w:rPr>
          <w:rFonts w:ascii="Times New Roman"/>
          <w:color w:val="1A1A1A"/>
          <w:position w:val="10"/>
          <w:sz w:val="14"/>
        </w:rPr>
        <w:t>2</w:t>
      </w:r>
      <w:r>
        <w:rPr>
          <w:rFonts w:ascii="Times New Roman"/>
          <w:sz w:val="14"/>
        </w:rPr>
      </w:r>
    </w:p>
    <w:p>
      <w:pPr>
        <w:pStyle w:val="ListParagraph"/>
        <w:numPr>
          <w:ilvl w:val="1"/>
          <w:numId w:val="1"/>
        </w:numPr>
        <w:tabs>
          <w:tab w:pos="2506" w:val="left" w:leader="none"/>
        </w:tabs>
        <w:spacing w:line="240" w:lineRule="auto" w:before="67" w:after="0"/>
        <w:ind w:left="2505" w:right="0" w:hanging="33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A1A1A"/>
          <w:sz w:val="21"/>
        </w:rPr>
        <w:t>The total financial cost of stroke in Australia was estimated at $5 billion in 2012</w:t>
      </w:r>
      <w:r>
        <w:rPr>
          <w:rFonts w:ascii="Arial"/>
          <w:color w:val="1A1A1A"/>
          <w:spacing w:val="54"/>
          <w:sz w:val="21"/>
        </w:rPr>
        <w:t> </w:t>
      </w:r>
      <w:r>
        <w:rPr>
          <w:rFonts w:ascii="Arial"/>
          <w:color w:val="1A1A1A"/>
          <w:sz w:val="21"/>
        </w:rPr>
        <w:t>(4).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603" w:right="0" w:firstLine="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1A1A1A"/>
          <w:w w:val="110"/>
          <w:sz w:val="20"/>
        </w:rPr>
        <w:t>This policy position was endorsed by the </w:t>
      </w:r>
      <w:r>
        <w:rPr>
          <w:rFonts w:ascii="Arial"/>
          <w:b/>
          <w:i/>
          <w:color w:val="1A1A1A"/>
          <w:w w:val="110"/>
          <w:sz w:val="20"/>
        </w:rPr>
        <w:t>VCDPA </w:t>
      </w:r>
      <w:r>
        <w:rPr>
          <w:rFonts w:ascii="Arial"/>
          <w:i/>
          <w:color w:val="1A1A1A"/>
          <w:w w:val="110"/>
          <w:sz w:val="20"/>
        </w:rPr>
        <w:t>on Wednesday 11 </w:t>
      </w:r>
      <w:r>
        <w:rPr>
          <w:rFonts w:ascii="Arial"/>
          <w:color w:val="1A1A1A"/>
          <w:w w:val="110"/>
          <w:sz w:val="21"/>
        </w:rPr>
        <w:t>December</w:t>
      </w:r>
      <w:r>
        <w:rPr>
          <w:rFonts w:ascii="Arial"/>
          <w:color w:val="1A1A1A"/>
          <w:spacing w:val="-6"/>
          <w:w w:val="110"/>
          <w:sz w:val="21"/>
        </w:rPr>
        <w:t> </w:t>
      </w:r>
      <w:r>
        <w:rPr>
          <w:rFonts w:ascii="Arial"/>
          <w:i/>
          <w:color w:val="1A1A1A"/>
          <w:w w:val="110"/>
          <w:sz w:val="20"/>
        </w:rPr>
        <w:t>2013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21"/>
          <w:szCs w:val="21"/>
        </w:rPr>
      </w:pPr>
    </w:p>
    <w:p>
      <w:pPr>
        <w:spacing w:before="0"/>
        <w:ind w:left="1603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1A1A1A"/>
          <w:w w:val="110"/>
          <w:sz w:val="18"/>
        </w:rPr>
        <w:t>References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0" w:lineRule="exact"/>
        <w:ind w:left="157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38.5pt;height:.75pt;mso-position-horizontal-relative:char;mso-position-vertical-relative:line" coordorigin="0,0" coordsize="2770,15">
            <v:group style="position:absolute;left:7;top:7;width:2756;height:2" coordorigin="7,7" coordsize="2756,2">
              <v:shape style="position:absolute;left:7;top:7;width:2756;height:2" coordorigin="7,7" coordsize="2756,0" path="m7,7l2762,7e" filled="false" stroked="true" strokeweight=".72pt" strokecolor="#1c1c1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33" w:lineRule="exact" w:before="44"/>
        <w:ind w:left="1603" w:right="123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color w:val="1A1A1A"/>
          <w:w w:val="105"/>
          <w:position w:val="10"/>
          <w:sz w:val="12"/>
        </w:rPr>
        <w:t>1</w:t>
      </w:r>
      <w:r>
        <w:rPr>
          <w:rFonts w:ascii="Arial"/>
          <w:color w:val="1A1A1A"/>
          <w:w w:val="105"/>
          <w:sz w:val="18"/>
        </w:rPr>
        <w:t>Australian Institute of Health and Welfare (2012) Australia's Health</w:t>
      </w:r>
      <w:r>
        <w:rPr>
          <w:rFonts w:ascii="Arial"/>
          <w:color w:val="1A1A1A"/>
          <w:spacing w:val="43"/>
          <w:w w:val="105"/>
          <w:sz w:val="18"/>
        </w:rPr>
        <w:t> </w:t>
      </w:r>
      <w:r>
        <w:rPr>
          <w:rFonts w:ascii="Arial"/>
          <w:color w:val="1A1A1A"/>
          <w:w w:val="105"/>
          <w:sz w:val="18"/>
        </w:rPr>
        <w:t>2012</w:t>
      </w:r>
      <w:r>
        <w:rPr>
          <w:rFonts w:ascii="Arial"/>
          <w:sz w:val="18"/>
        </w:rPr>
      </w:r>
    </w:p>
    <w:p>
      <w:pPr>
        <w:spacing w:line="231" w:lineRule="exact" w:before="0"/>
        <w:ind w:left="1593" w:right="123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i/>
          <w:color w:val="1A1A1A"/>
          <w:w w:val="105"/>
          <w:position w:val="10"/>
          <w:sz w:val="12"/>
        </w:rPr>
        <w:t>2</w:t>
      </w:r>
      <w:r>
        <w:rPr>
          <w:rFonts w:ascii="Arial"/>
          <w:i/>
          <w:color w:val="1A1A1A"/>
          <w:w w:val="105"/>
          <w:sz w:val="18"/>
        </w:rPr>
        <w:t>ACS in perspective:  The importance of secondary prevention; </w:t>
      </w:r>
      <w:r>
        <w:rPr>
          <w:rFonts w:ascii="Arial"/>
          <w:color w:val="1A1A1A"/>
          <w:w w:val="105"/>
          <w:sz w:val="18"/>
        </w:rPr>
        <w:t>Deloitte Access Economics</w:t>
      </w:r>
      <w:r>
        <w:rPr>
          <w:rFonts w:ascii="Arial"/>
          <w:color w:val="1A1A1A"/>
          <w:spacing w:val="5"/>
          <w:w w:val="105"/>
          <w:sz w:val="18"/>
        </w:rPr>
        <w:t> </w:t>
      </w:r>
      <w:r>
        <w:rPr>
          <w:rFonts w:ascii="Arial"/>
          <w:color w:val="1A1A1A"/>
          <w:w w:val="105"/>
          <w:sz w:val="18"/>
        </w:rPr>
        <w:t>2011</w:t>
      </w:r>
      <w:r>
        <w:rPr>
          <w:rFonts w:ascii="Arial"/>
          <w:sz w:val="18"/>
        </w:rPr>
      </w:r>
    </w:p>
    <w:p>
      <w:pPr>
        <w:spacing w:line="228" w:lineRule="exact" w:before="0"/>
        <w:ind w:left="0" w:right="1710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A1A1A"/>
          <w:w w:val="102"/>
          <w:sz w:val="20"/>
        </w:rPr>
        <w:t>2</w:t>
      </w:r>
      <w:r>
        <w:rPr>
          <w:rFonts w:ascii="Times New Roman"/>
          <w:sz w:val="20"/>
        </w:rPr>
      </w:r>
    </w:p>
    <w:p>
      <w:pPr>
        <w:spacing w:line="20" w:lineRule="exact"/>
        <w:ind w:left="154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4.2pt;height:.75pt;mso-position-horizontal-relative:char;mso-position-vertical-relative:line" coordorigin="0,0" coordsize="8684,15">
            <v:group style="position:absolute;left:7;top:7;width:8669;height:2" coordorigin="7,7" coordsize="8669,2">
              <v:shape style="position:absolute;left:7;top:7;width:8669;height:2" coordorigin="7,7" coordsize="8669,0" path="m7,7l8676,7e" filled="false" stroked="true" strokeweight=".72pt" strokecolor="#1c1c1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"/>
        <w:ind w:left="1588" w:right="1235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A1A1A"/>
          <w:w w:val="110"/>
          <w:sz w:val="17"/>
        </w:rPr>
        <w:t>Address for</w:t>
      </w:r>
      <w:r>
        <w:rPr>
          <w:rFonts w:ascii="Arial"/>
          <w:color w:val="1A1A1A"/>
          <w:spacing w:val="-17"/>
          <w:w w:val="110"/>
          <w:sz w:val="17"/>
        </w:rPr>
        <w:t> </w:t>
      </w:r>
      <w:r>
        <w:rPr>
          <w:rFonts w:ascii="Arial"/>
          <w:color w:val="1A1A1A"/>
          <w:w w:val="110"/>
          <w:sz w:val="17"/>
        </w:rPr>
        <w:t>correspondence:</w:t>
      </w:r>
      <w:r>
        <w:rPr>
          <w:rFonts w:ascii="Arial"/>
          <w:sz w:val="17"/>
        </w:rPr>
      </w:r>
    </w:p>
    <w:p>
      <w:pPr>
        <w:spacing w:line="247" w:lineRule="auto" w:before="5"/>
        <w:ind w:left="1598" w:right="556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A1A1A"/>
          <w:sz w:val="15"/>
        </w:rPr>
        <w:t>Craig Bennett: Chair, Victorian Chronic Disease Prevention</w:t>
      </w:r>
      <w:r>
        <w:rPr>
          <w:rFonts w:ascii="Arial"/>
          <w:color w:val="1A1A1A"/>
          <w:spacing w:val="18"/>
          <w:sz w:val="15"/>
        </w:rPr>
        <w:t> </w:t>
      </w:r>
      <w:r>
        <w:rPr>
          <w:rFonts w:ascii="Arial"/>
          <w:color w:val="1A1A1A"/>
          <w:sz w:val="15"/>
        </w:rPr>
        <w:t>Alliance</w:t>
      </w:r>
      <w:r>
        <w:rPr>
          <w:rFonts w:ascii="Arial"/>
          <w:color w:val="1A1A1A"/>
          <w:w w:val="100"/>
          <w:sz w:val="15"/>
        </w:rPr>
        <w:t> </w:t>
      </w:r>
      <w:r>
        <w:rPr>
          <w:rFonts w:ascii="Arial"/>
          <w:color w:val="1A1A1A"/>
          <w:sz w:val="15"/>
        </w:rPr>
        <w:t>570 Elizabeth Street MELBOURNE VIC</w:t>
      </w:r>
      <w:r>
        <w:rPr>
          <w:rFonts w:ascii="Arial"/>
          <w:color w:val="1A1A1A"/>
          <w:spacing w:val="38"/>
          <w:sz w:val="15"/>
        </w:rPr>
        <w:t> </w:t>
      </w:r>
      <w:r>
        <w:rPr>
          <w:rFonts w:ascii="Arial"/>
          <w:color w:val="1A1A1A"/>
          <w:sz w:val="15"/>
        </w:rPr>
        <w:t>3000</w:t>
      </w:r>
      <w:r>
        <w:rPr>
          <w:rFonts w:ascii="Arial"/>
          <w:sz w:val="15"/>
        </w:rPr>
      </w:r>
    </w:p>
    <w:sectPr>
      <w:pgSz w:w="11910" w:h="16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86" w:hanging="336"/>
        <w:jc w:val="left"/>
      </w:pPr>
      <w:rPr>
        <w:rFonts w:hint="default" w:ascii="Times New Roman" w:hAnsi="Times New Roman" w:eastAsia="Times New Roman"/>
        <w:color w:val="1D1D1D"/>
        <w:w w:val="106"/>
        <w:sz w:val="22"/>
        <w:szCs w:val="22"/>
      </w:rPr>
    </w:lvl>
    <w:lvl w:ilvl="1">
      <w:start w:val="1"/>
      <w:numFmt w:val="bullet"/>
      <w:lvlText w:val="•"/>
      <w:lvlJc w:val="left"/>
      <w:pPr>
        <w:ind w:left="813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46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80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13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47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80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1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47" w:hanging="33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27" w:hanging="340"/>
        <w:jc w:val="left"/>
      </w:pPr>
      <w:rPr>
        <w:rFonts w:hint="default" w:ascii="Arial" w:hAnsi="Arial" w:eastAsia="Arial"/>
        <w:color w:val="1D1D1D"/>
        <w:w w:val="106"/>
        <w:sz w:val="20"/>
        <w:szCs w:val="20"/>
      </w:rPr>
    </w:lvl>
    <w:lvl w:ilvl="1">
      <w:start w:val="1"/>
      <w:numFmt w:val="bullet"/>
      <w:lvlText w:val="•"/>
      <w:lvlJc w:val="left"/>
      <w:pPr>
        <w:ind w:left="2510" w:hanging="346"/>
      </w:pPr>
      <w:rPr>
        <w:rFonts w:hint="default" w:ascii="Arial" w:hAnsi="Arial" w:eastAsia="Arial"/>
        <w:color w:val="1A1A1A"/>
        <w:w w:val="145"/>
        <w:sz w:val="21"/>
        <w:szCs w:val="21"/>
      </w:rPr>
    </w:lvl>
    <w:lvl w:ilvl="2">
      <w:start w:val="1"/>
      <w:numFmt w:val="bullet"/>
      <w:lvlText w:val="•"/>
      <w:lvlJc w:val="left"/>
      <w:pPr>
        <w:ind w:left="3562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5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48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0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3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6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8" w:hanging="34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10" w:hanging="336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39"/>
      <w:ind w:left="1762"/>
      <w:outlineLvl w:val="1"/>
    </w:pPr>
    <w:rPr>
      <w:rFonts w:ascii="Arial" w:hAnsi="Arial" w:eastAsia="Arial"/>
      <w:b/>
      <w:bCs/>
      <w:sz w:val="27"/>
      <w:szCs w:val="27"/>
    </w:rPr>
  </w:style>
  <w:style w:styleId="Heading2" w:type="paragraph">
    <w:name w:val="Heading 2"/>
    <w:basedOn w:val="Normal"/>
    <w:uiPriority w:val="1"/>
    <w:qFormat/>
    <w:pPr>
      <w:spacing w:before="67"/>
      <w:ind w:left="1603"/>
      <w:outlineLvl w:val="2"/>
    </w:pPr>
    <w:rPr>
      <w:rFonts w:ascii="Arial" w:hAnsi="Arial" w:eastAsia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F6BFE-8E4F-4B26-BEDE-078C97AA2942}"/>
</file>

<file path=customXml/itemProps2.xml><?xml version="1.0" encoding="utf-8"?>
<ds:datastoreItem xmlns:ds="http://schemas.openxmlformats.org/officeDocument/2006/customXml" ds:itemID="{13571C21-4F54-4C9A-91CA-6D82E3A6E9EC}"/>
</file>

<file path=customXml/itemProps3.xml><?xml version="1.0" encoding="utf-8"?>
<ds:datastoreItem xmlns:ds="http://schemas.openxmlformats.org/officeDocument/2006/customXml" ds:itemID="{829DD101-9A11-4A96-BC63-CC367372093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VCDPA_submission</dc:title>
  <dcterms:created xsi:type="dcterms:W3CDTF">2015-08-12T09:57:34Z</dcterms:created>
  <dcterms:modified xsi:type="dcterms:W3CDTF">2015-08-12T09:57:34Z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bizhub C35</vt:lpwstr>
  </property>
  <property fmtid="{D5CDD505-2E9C-101B-9397-08002B2CF9AE}" pid="4" name="LastSaved">
    <vt:filetime>2015-08-11T00:00:00Z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206300</vt:r8>
  </property>
</Properties>
</file>