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411" w:right="920" w:firstLine="0"/>
        <w:jc w:val="left"/>
        <w:rPr>
          <w:rFonts w:ascii="Calibri" w:hAnsi="Calibri" w:cs="Calibri" w:eastAsia="Calibri"/>
          <w:sz w:val="60"/>
          <w:szCs w:val="6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759pt;width:595.35pt;height:82.95pt;mso-position-horizontal-relative:page;mso-position-vertical-relative:page;z-index:-36688" type="#_x0000_t202" filled="false" stroked="false">
            <v:textbox inset="0,0,0,0">
              <w:txbxContent>
                <w:p>
                  <w:pPr>
                    <w:spacing w:line="240" w:lineRule="auto" w:before="8"/>
                    <w:rPr>
                      <w:rFonts w:ascii="Calibri" w:hAnsi="Calibri" w:cs="Calibri" w:eastAsia="Calibri"/>
                      <w:sz w:val="23"/>
                      <w:szCs w:val="23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0" w:right="1410" w:firstLine="0"/>
                    <w:jc w:val="right"/>
                  </w:pPr>
                  <w:r>
                    <w:rPr>
                      <w:w w:val="100"/>
                    </w:rPr>
                    <w:t>P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1"/>
                      <w:w w:val="100"/>
                    </w:rPr>
                    <w:t>g</w:t>
                  </w:r>
                  <w:r>
                    <w:rPr>
                      <w:w w:val="100"/>
                    </w:rPr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1</w:t>
                  </w:r>
                </w:p>
                <w:p>
                  <w:pPr>
                    <w:spacing w:line="195" w:lineRule="exact" w:before="2"/>
                    <w:ind w:left="141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w w:val="100"/>
                      <w:sz w:val="16"/>
                    </w:rPr>
                    <w:t>Ha</w:t>
                  </w:r>
                  <w:r>
                    <w:rPr>
                      <w:rFonts w:ascii="Calibri"/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e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l</w:t>
                  </w:r>
                  <w:r>
                    <w:rPr>
                      <w:rFonts w:ascii="Calibri"/>
                      <w:w w:val="100"/>
                      <w:sz w:val="16"/>
                    </w:rPr>
                    <w:t>w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Calibri"/>
                      <w:w w:val="100"/>
                      <w:sz w:val="16"/>
                    </w:rPr>
                    <w:t>d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w w:val="100"/>
                      <w:sz w:val="16"/>
                    </w:rPr>
                    <w:t>C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Calibri"/>
                      <w:w w:val="100"/>
                      <w:sz w:val="16"/>
                    </w:rPr>
                    <w:t>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M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i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n</w:t>
                  </w:r>
                  <w:r>
                    <w:rPr>
                      <w:rFonts w:ascii="Calibri"/>
                      <w:w w:val="100"/>
                      <w:sz w:val="16"/>
                    </w:rPr>
                    <w:t>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Fi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Calibri"/>
                      <w:w w:val="100"/>
                      <w:sz w:val="16"/>
                    </w:rPr>
                    <w:t>e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w w:val="100"/>
                      <w:sz w:val="16"/>
                    </w:rPr>
                    <w:t>I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n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q</w:t>
                  </w:r>
                  <w:r>
                    <w:rPr>
                      <w:rFonts w:ascii="Calibri"/>
                      <w:spacing w:val="1"/>
                      <w:w w:val="100"/>
                      <w:sz w:val="16"/>
                    </w:rPr>
                    <w:t>u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i</w:t>
                  </w:r>
                  <w:r>
                    <w:rPr>
                      <w:rFonts w:ascii="Calibri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Calibri"/>
                      <w:w w:val="100"/>
                      <w:sz w:val="16"/>
                    </w:rPr>
                    <w:t>y</w:t>
                  </w:r>
                </w:p>
                <w:p>
                  <w:pPr>
                    <w:spacing w:line="195" w:lineRule="exact" w:before="0"/>
                    <w:ind w:left="141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ub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an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–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ne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 w:eastAsia="Calibri"/>
                      <w:spacing w:val="2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ascii="Calibri" w:hAnsi="Calibri" w:cs="Calibri" w:eastAsia="Calibri"/>
                      <w:w w:val="100"/>
                      <w:sz w:val="16"/>
                      <w:szCs w:val="16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-.25pt;margin-top:243.749985pt;width:595.6pt;height:598.450pt;mso-position-horizontal-relative:page;mso-position-vertical-relative:page;z-index:1048" coordorigin="-5,4875" coordsize="11912,11969">
            <v:group style="position:absolute;left:0;top:15180;width:11907;height:1659" coordorigin="0,15180" coordsize="11907,1659">
              <v:shape style="position:absolute;left:0;top:15180;width:11907;height:1659" coordorigin="0,15180" coordsize="11907,1659" path="m0,16838l11906,16838,11906,15180,0,15180,0,16838xe" filled="true" fillcolor="#00547d" stroked="false">
                <v:path arrowok="t"/>
                <v:fill type="solid"/>
              </v:shape>
            </v:group>
            <v:group style="position:absolute;left:0;top:14385;width:945;height:945" coordorigin="0,14385" coordsize="945,945">
              <v:shape style="position:absolute;left:0;top:14385;width:945;height:945" coordorigin="0,14385" coordsize="945,945" path="m0,15330l945,14385e" filled="false" stroked="true" strokeweight=".5pt" strokecolor="#ffffff">
                <v:path arrowok="t"/>
              </v:shape>
            </v:group>
            <v:group style="position:absolute;left:0;top:14385;width:1230;height:1230" coordorigin="0,14385" coordsize="1230,1230">
              <v:shape style="position:absolute;left:0;top:14385;width:1230;height:1230" coordorigin="0,14385" coordsize="1230,1230" path="m0,15615l1230,14385e" filled="false" stroked="true" strokeweight=".5pt" strokecolor="#ffffff">
                <v:path arrowok="t"/>
              </v:shape>
            </v:group>
            <v:group style="position:absolute;left:0;top:14385;width:1515;height:1515" coordorigin="0,14385" coordsize="1515,1515">
              <v:shape style="position:absolute;left:0;top:14385;width:1515;height:1515" coordorigin="0,14385" coordsize="1515,1515" path="m0,15900l1515,14385e" filled="false" stroked="true" strokeweight=".5pt" strokecolor="#ffffff">
                <v:path arrowok="t"/>
              </v:shape>
            </v:group>
            <v:group style="position:absolute;left:0;top:14385;width:1800;height:1800" coordorigin="0,14385" coordsize="1800,1800">
              <v:shape style="position:absolute;left:0;top:14385;width:1800;height:1800" coordorigin="0,14385" coordsize="1800,1800" path="m0,16185l1800,14385e" filled="false" stroked="true" strokeweight=".5pt" strokecolor="#ffffff">
                <v:path arrowok="t"/>
              </v:shape>
            </v:group>
            <v:group style="position:absolute;left:0;top:14385;width:2085;height:2085" coordorigin="0,14385" coordsize="2085,2085">
              <v:shape style="position:absolute;left:0;top:14385;width:2085;height:2085" coordorigin="0,14385" coordsize="2085,2085" path="m0,16470l2085,14385e" filled="false" stroked="true" strokeweight=".5pt" strokecolor="#ffffff">
                <v:path arrowok="t"/>
              </v:shape>
            </v:group>
            <v:group style="position:absolute;left:0;top:14385;width:2370;height:2370" coordorigin="0,14385" coordsize="2370,2370">
              <v:shape style="position:absolute;left:0;top:14385;width:2370;height:2370" coordorigin="0,14385" coordsize="2370,2370" path="m0,16755l2370,14385e" filled="false" stroked="true" strokeweight=".5pt" strokecolor="#ffffff">
                <v:path arrowok="t"/>
              </v:shape>
            </v:group>
            <v:group style="position:absolute;left:187;top:14385;width:2454;height:2454" coordorigin="187,14385" coordsize="2454,2454">
              <v:shape style="position:absolute;left:187;top:14385;width:2454;height:2454" coordorigin="187,14385" coordsize="2454,2454" path="m187,16838l2640,14385e" filled="false" stroked="true" strokeweight=".5pt" strokecolor="#ffffff">
                <v:path arrowok="t"/>
              </v:shape>
            </v:group>
            <v:group style="position:absolute;left:472;top:14385;width:2454;height:2454" coordorigin="472,14385" coordsize="2454,2454">
              <v:shape style="position:absolute;left:472;top:14385;width:2454;height:2454" coordorigin="472,14385" coordsize="2454,2454" path="m472,16838l2925,14385e" filled="false" stroked="true" strokeweight=".5pt" strokecolor="#ffffff">
                <v:path arrowok="t"/>
              </v:shape>
            </v:group>
            <v:group style="position:absolute;left:757;top:14385;width:2454;height:2454" coordorigin="757,14385" coordsize="2454,2454">
              <v:shape style="position:absolute;left:757;top:14385;width:2454;height:2454" coordorigin="757,14385" coordsize="2454,2454" path="m757,16838l3210,14385e" filled="false" stroked="true" strokeweight=".5pt" strokecolor="#ffffff">
                <v:path arrowok="t"/>
              </v:shape>
            </v:group>
            <v:group style="position:absolute;left:1042;top:14385;width:2454;height:2454" coordorigin="1042,14385" coordsize="2454,2454">
              <v:shape style="position:absolute;left:1042;top:14385;width:2454;height:2454" coordorigin="1042,14385" coordsize="2454,2454" path="m1042,16838l3495,14385e" filled="false" stroked="true" strokeweight=".5pt" strokecolor="#ffffff">
                <v:path arrowok="t"/>
              </v:shape>
            </v:group>
            <v:group style="position:absolute;left:1327;top:14385;width:2454;height:2454" coordorigin="1327,14385" coordsize="2454,2454">
              <v:shape style="position:absolute;left:1327;top:14385;width:2454;height:2454" coordorigin="1327,14385" coordsize="2454,2454" path="m1327,16838l3780,14385e" filled="false" stroked="true" strokeweight=".5pt" strokecolor="#ffffff">
                <v:path arrowok="t"/>
              </v:shape>
              <v:shape style="position:absolute;left:9945;top:15360;width:1590;height:1080" type="#_x0000_t75" stroked="false">
                <v:imagedata r:id="rId5" o:title=""/>
              </v:shape>
              <v:shape style="position:absolute;left:8610;top:4875;width:3296;height:3317" type="#_x0000_t75" stroked="false">
                <v:imagedata r:id="rId6" o:title=""/>
              </v:shape>
              <v:shape style="position:absolute;left:0;top:8175;width:11906;height:7005" type="#_x0000_t75" stroked="false">
                <v:imagedata r:id="rId7" o:title=""/>
              </v:shape>
            </v:group>
            <w10:wrap type="none"/>
          </v:group>
        </w:pict>
      </w:r>
      <w:r>
        <w:rPr>
          <w:rFonts w:ascii="Calibri"/>
          <w:b/>
          <w:sz w:val="60"/>
        </w:rPr>
        <w:t>Hazelwood Coal Mine Fire</w:t>
      </w:r>
      <w:r>
        <w:rPr>
          <w:rFonts w:ascii="Calibri"/>
          <w:b/>
          <w:spacing w:val="-18"/>
          <w:sz w:val="60"/>
        </w:rPr>
        <w:t> </w:t>
      </w:r>
      <w:r>
        <w:rPr>
          <w:rFonts w:ascii="Calibri"/>
          <w:b/>
          <w:sz w:val="60"/>
        </w:rPr>
        <w:t>Inquiry</w:t>
      </w:r>
      <w:r>
        <w:rPr>
          <w:rFonts w:ascii="Calibri"/>
          <w:sz w:val="60"/>
        </w:rPr>
      </w:r>
    </w:p>
    <w:p>
      <w:pPr>
        <w:pStyle w:val="Heading1"/>
        <w:spacing w:line="440" w:lineRule="exact" w:before="190"/>
        <w:ind w:left="1411" w:right="920" w:firstLine="0"/>
        <w:jc w:val="left"/>
      </w:pPr>
      <w:r>
        <w:rPr/>
        <w:t>Submission from the Victorian Government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18"/>
        </w:rPr>
        <w:t> </w:t>
      </w:r>
      <w:r>
        <w:rPr/>
        <w:t>Anglesea</w:t>
      </w:r>
      <w:r>
        <w:rPr>
          <w:spacing w:val="-1"/>
          <w:w w:val="100"/>
        </w:rPr>
        <w:t> </w:t>
      </w:r>
      <w:r>
        <w:rPr/>
        <w:t>Coal Mine</w:t>
      </w:r>
    </w:p>
    <w:p>
      <w:pPr>
        <w:spacing w:before="251"/>
        <w:ind w:left="1411" w:right="920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sz w:val="36"/>
        </w:rPr>
        <w:t>July</w:t>
      </w:r>
      <w:r>
        <w:rPr>
          <w:rFonts w:ascii="Calibri"/>
          <w:spacing w:val="-1"/>
          <w:sz w:val="36"/>
        </w:rPr>
        <w:t> </w:t>
      </w:r>
      <w:r>
        <w:rPr>
          <w:rFonts w:ascii="Calibri"/>
          <w:sz w:val="36"/>
        </w:rPr>
        <w:t>2015</w:t>
      </w:r>
    </w:p>
    <w:p>
      <w:pPr>
        <w:spacing w:after="0"/>
        <w:jc w:val="left"/>
        <w:rPr>
          <w:rFonts w:ascii="Calibri" w:hAnsi="Calibri" w:cs="Calibri" w:eastAsia="Calibri"/>
          <w:sz w:val="36"/>
          <w:szCs w:val="36"/>
        </w:rPr>
        <w:sectPr>
          <w:type w:val="continuous"/>
          <w:pgSz w:w="11910" w:h="16840"/>
          <w:pgMar w:top="158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 w:before="56"/>
        <w:ind w:left="151" w:right="414" w:firstLine="0"/>
        <w:jc w:val="left"/>
      </w:pPr>
      <w:r>
        <w:rPr/>
        <w:t>Authorised and published by the Victorian Government, 1 Treasury Place,</w:t>
      </w:r>
      <w:r>
        <w:rPr>
          <w:spacing w:val="-28"/>
        </w:rPr>
        <w:t> </w:t>
      </w:r>
      <w:r>
        <w:rPr/>
        <w:t>Melbourne.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51" w:right="41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Accessibility</w:t>
      </w:r>
      <w:r>
        <w:rPr>
          <w:rFonts w:ascii="Calibri"/>
          <w:sz w:val="22"/>
        </w:rPr>
      </w:r>
    </w:p>
    <w:p>
      <w:pPr>
        <w:pStyle w:val="BodyText"/>
        <w:spacing w:line="240" w:lineRule="auto" w:before="0"/>
        <w:ind w:left="151" w:right="414" w:firstLine="0"/>
        <w:jc w:val="left"/>
      </w:pPr>
      <w:r>
        <w:rPr/>
        <w:t>If you would like to receive this publication in an accessible format, please telephone 9651 5111</w:t>
      </w:r>
      <w:r>
        <w:rPr>
          <w:spacing w:val="-28"/>
        </w:rPr>
        <w:t> </w:t>
      </w:r>
      <w:r>
        <w:rPr/>
        <w:t>or</w:t>
      </w:r>
      <w:r>
        <w:rPr>
          <w:w w:val="100"/>
        </w:rPr>
        <w:t> </w:t>
      </w:r>
      <w:r>
        <w:rPr/>
        <w:t>email</w:t>
      </w:r>
      <w:r>
        <w:rPr>
          <w:spacing w:val="-7"/>
        </w:rPr>
        <w:t> </w:t>
      </w:r>
      <w:hyperlink r:id="rId9">
        <w:r>
          <w:rPr>
            <w:color w:val="0000FF"/>
          </w:rPr>
          <w:t>advertising@dpc.vic.gov.au</w:t>
        </w:r>
        <w:r>
          <w:rPr/>
          <w:t>.</w:t>
        </w:r>
      </w:hyperlink>
    </w:p>
    <w:p>
      <w:pPr>
        <w:spacing w:line="240" w:lineRule="auto" w:before="11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240" w:lineRule="auto" w:before="0"/>
        <w:ind w:left="151" w:right="414" w:firstLine="0"/>
        <w:jc w:val="left"/>
      </w:pPr>
      <w:r>
        <w:rPr/>
        <w:t>© State of Victoria</w:t>
      </w:r>
      <w:r>
        <w:rPr>
          <w:spacing w:val="-10"/>
        </w:rPr>
        <w:t> </w:t>
      </w:r>
      <w:r>
        <w:rPr/>
        <w:t>2015</w:t>
      </w:r>
    </w:p>
    <w:p>
      <w:pPr>
        <w:spacing w:line="240" w:lineRule="auto" w:before="12"/>
        <w:rPr>
          <w:rFonts w:ascii="Calibri" w:hAnsi="Calibri" w:cs="Calibri" w:eastAsia="Calibri"/>
          <w:sz w:val="9"/>
          <w:szCs w:val="9"/>
        </w:rPr>
      </w:pPr>
    </w:p>
    <w:p>
      <w:pPr>
        <w:spacing w:line="627" w:lineRule="exact"/>
        <w:ind w:left="15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2"/>
          <w:sz w:val="20"/>
          <w:szCs w:val="20"/>
        </w:rPr>
        <w:drawing>
          <wp:inline distT="0" distB="0" distL="0" distR="0">
            <wp:extent cx="1124544" cy="398621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44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12"/>
          <w:sz w:val="20"/>
          <w:szCs w:val="20"/>
        </w:rPr>
      </w:r>
    </w:p>
    <w:p>
      <w:pPr>
        <w:pStyle w:val="BodyText"/>
        <w:spacing w:line="240" w:lineRule="auto"/>
        <w:ind w:left="151" w:right="414" w:firstLine="0"/>
        <w:jc w:val="left"/>
      </w:pPr>
      <w:r>
        <w:rPr/>
        <w:t>This work is licensed under a</w:t>
      </w:r>
      <w:r>
        <w:rPr/>
        <w:t> </w:t>
      </w:r>
      <w:hyperlink r:id="rId11">
        <w:r>
          <w:rPr>
            <w:color w:val="404040"/>
          </w:rPr>
          <w:t>Creative Commons Attribution 3.0 Australia licence</w:t>
        </w:r>
        <w:r>
          <w:rPr/>
          <w:t>.</w:t>
        </w:r>
      </w:hyperlink>
      <w:r>
        <w:rPr/>
        <w:t> You are free</w:t>
      </w:r>
      <w:r>
        <w:rPr>
          <w:spacing w:val="-28"/>
        </w:rPr>
        <w:t> </w:t>
      </w:r>
      <w:r>
        <w:rPr/>
        <w:t>to</w:t>
      </w:r>
      <w:r>
        <w:rPr>
          <w:w w:val="100"/>
        </w:rPr>
        <w:t> </w:t>
      </w:r>
      <w:r>
        <w:rPr/>
        <w:t>re-use the work under that licence, on the condition that you credit the State of Victoria as</w:t>
      </w:r>
      <w:r>
        <w:rPr>
          <w:spacing w:val="-25"/>
        </w:rPr>
        <w:t> </w:t>
      </w:r>
      <w:r>
        <w:rPr/>
        <w:t>author.</w:t>
      </w:r>
      <w:r>
        <w:rPr>
          <w:w w:val="100"/>
        </w:rPr>
        <w:t> </w:t>
      </w:r>
      <w:r>
        <w:rPr/>
        <w:t>The licence does not apply to any images, photographs or branding, including the Victorian Coat</w:t>
      </w:r>
      <w:r>
        <w:rPr>
          <w:spacing w:val="-25"/>
        </w:rPr>
        <w:t> </w:t>
      </w:r>
      <w:r>
        <w:rPr/>
        <w:t>of</w:t>
      </w:r>
      <w:r>
        <w:rPr>
          <w:w w:val="100"/>
        </w:rPr>
        <w:t> </w:t>
      </w:r>
      <w:r>
        <w:rPr/>
        <w:t>Arms and the Victorian Government</w:t>
      </w:r>
      <w:r>
        <w:rPr>
          <w:spacing w:val="-11"/>
        </w:rPr>
        <w:t> </w:t>
      </w:r>
      <w:r>
        <w:rPr/>
        <w:t>logo.</w:t>
      </w:r>
    </w:p>
    <w:p>
      <w:pPr>
        <w:pStyle w:val="BodyText"/>
        <w:spacing w:line="240" w:lineRule="auto"/>
        <w:ind w:left="151" w:right="414" w:firstLine="0"/>
        <w:jc w:val="left"/>
      </w:pPr>
      <w:r>
        <w:rPr/>
        <w:t>To view a copy of this licence, visit</w:t>
      </w:r>
      <w:r>
        <w:rPr>
          <w:spacing w:val="-23"/>
        </w:rPr>
        <w:t> </w:t>
      </w:r>
      <w:hyperlink r:id="rId11">
        <w:r>
          <w:rPr>
            <w:color w:val="0000FF"/>
          </w:rPr>
          <w:t>creativecommons.org/licenses/by/3.0/au</w:t>
        </w:r>
      </w:hyperlink>
      <w:r>
        <w:rPr/>
        <w:t>.</w:t>
      </w:r>
    </w:p>
    <w:p>
      <w:pPr>
        <w:spacing w:after="0" w:line="240" w:lineRule="auto"/>
        <w:jc w:val="left"/>
        <w:sectPr>
          <w:footerReference w:type="default" r:id="rId8"/>
          <w:pgSz w:w="11910" w:h="16840"/>
          <w:pgMar w:footer="1125" w:header="0" w:top="1580" w:bottom="1320" w:left="1260" w:right="1260"/>
          <w:pgNumType w:start="2"/>
        </w:sectPr>
      </w:pPr>
    </w:p>
    <w:p>
      <w:pPr>
        <w:pStyle w:val="Heading1"/>
        <w:spacing w:line="240" w:lineRule="auto"/>
        <w:ind w:left="151" w:right="0" w:firstLine="0"/>
        <w:jc w:val="left"/>
      </w:pPr>
      <w:r>
        <w:rPr>
          <w:color w:val="4B4B4B"/>
        </w:rPr>
        <w:t>Table of</w:t>
      </w:r>
      <w:r>
        <w:rPr>
          <w:color w:val="4B4B4B"/>
          <w:spacing w:val="-6"/>
        </w:rPr>
        <w:t> </w:t>
      </w:r>
      <w:r>
        <w:rPr>
          <w:color w:val="4B4B4B"/>
        </w:rPr>
        <w:t>contents</w:t>
      </w:r>
      <w:r>
        <w:rPr/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19" w:val="left" w:leader="none"/>
              <w:tab w:pos="9799" w:val="right" w:leader="dot"/>
            </w:tabs>
            <w:spacing w:line="240" w:lineRule="auto" w:before="374" w:after="0"/>
            <w:ind w:left="718" w:right="0" w:hanging="567"/>
            <w:jc w:val="left"/>
          </w:pPr>
          <w:hyperlink w:history="true" w:anchor="_TOC_250016">
            <w:r>
              <w:rPr>
                <w:color w:val="4B4B4B"/>
              </w:rPr>
              <w:t>Glossary</w:t>
              <w:tab/>
              <w:t>4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9" w:val="left" w:leader="none"/>
              <w:tab w:pos="9799" w:val="right" w:leader="dot"/>
            </w:tabs>
            <w:spacing w:line="240" w:lineRule="auto" w:before="205" w:after="0"/>
            <w:ind w:left="718" w:right="0" w:hanging="567"/>
            <w:jc w:val="left"/>
          </w:pPr>
          <w:hyperlink w:history="true" w:anchor="_TOC_250015">
            <w:r>
              <w:rPr>
                <w:color w:val="4B4B4B"/>
              </w:rPr>
              <w:t>Introduction</w:t>
              <w:tab/>
              <w:t>6</w:t>
            </w:r>
            <w:r>
              <w:rPr/>
            </w:r>
          </w:hyperlink>
        </w:p>
        <w:p>
          <w:pPr>
            <w:pStyle w:val="TOC3"/>
            <w:tabs>
              <w:tab w:pos="9785" w:val="right" w:leader="dot"/>
            </w:tabs>
            <w:spacing w:line="240" w:lineRule="auto" w:before="111"/>
            <w:ind w:right="0"/>
            <w:jc w:val="left"/>
          </w:pPr>
          <w:hyperlink w:history="true" w:anchor="_TOC_250014">
            <w:r>
              <w:rPr/>
              <w:t>Hazelwood Coal Mine Fire Inquiry</w:t>
            </w:r>
            <w:r>
              <w:rPr>
                <w:spacing w:val="-7"/>
              </w:rPr>
              <w:t> </w:t>
            </w:r>
            <w:r>
              <w:rPr/>
              <w:t>2014</w:t>
              <w:tab/>
              <w:t>6</w:t>
            </w:r>
          </w:hyperlink>
        </w:p>
        <w:p>
          <w:pPr>
            <w:pStyle w:val="TOC3"/>
            <w:tabs>
              <w:tab w:pos="9785" w:val="right" w:leader="dot"/>
            </w:tabs>
            <w:spacing w:line="267" w:lineRule="exact"/>
            <w:ind w:right="0"/>
            <w:jc w:val="left"/>
          </w:pPr>
          <w:hyperlink w:history="true" w:anchor="_TOC_250013">
            <w:r>
              <w:rPr/>
              <w:t>Reopened Hazelwood Coal Mine Fire</w:t>
            </w:r>
            <w:r>
              <w:rPr>
                <w:spacing w:val="-7"/>
              </w:rPr>
              <w:t> </w:t>
            </w:r>
            <w:r>
              <w:rPr/>
              <w:t>Inquiry</w:t>
              <w:tab/>
              <w:t>6</w:t>
            </w:r>
          </w:hyperlink>
        </w:p>
        <w:p>
          <w:pPr>
            <w:pStyle w:val="TOC3"/>
            <w:tabs>
              <w:tab w:pos="9785" w:val="right" w:leader="dot"/>
            </w:tabs>
            <w:spacing w:line="267" w:lineRule="exact"/>
            <w:ind w:right="0"/>
            <w:jc w:val="left"/>
          </w:pPr>
          <w:hyperlink w:history="true" w:anchor="_TOC_250012">
            <w:r>
              <w:rPr/>
              <w:t>Victorian Government Submission </w:t>
            </w:r>
            <w:r>
              <w:rPr>
                <w:rFonts w:ascii="Calibri" w:hAnsi="Calibri" w:cs="Calibri" w:eastAsia="Calibri"/>
              </w:rPr>
              <w:t>– </w:t>
            </w:r>
            <w:r>
              <w:rPr/>
              <w:t>Anglesea Coal</w:t>
            </w:r>
            <w:r>
              <w:rPr>
                <w:spacing w:val="-6"/>
              </w:rPr>
              <w:t> </w:t>
            </w:r>
            <w:r>
              <w:rPr/>
              <w:t>Mine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9" w:val="left" w:leader="none"/>
              <w:tab w:pos="9799" w:val="right" w:leader="dot"/>
            </w:tabs>
            <w:spacing w:line="240" w:lineRule="auto" w:before="216" w:after="0"/>
            <w:ind w:left="718" w:right="0" w:hanging="567"/>
            <w:jc w:val="left"/>
          </w:pPr>
          <w:hyperlink w:history="true" w:anchor="_TOC_250011">
            <w:r>
              <w:rPr>
                <w:color w:val="4B4B4B"/>
              </w:rPr>
              <w:t>Management of the Anglesea</w:t>
            </w:r>
            <w:r>
              <w:rPr>
                <w:color w:val="4B4B4B"/>
                <w:spacing w:val="-5"/>
              </w:rPr>
              <w:t> </w:t>
            </w:r>
            <w:r>
              <w:rPr>
                <w:color w:val="4B4B4B"/>
              </w:rPr>
              <w:t>Heath</w:t>
              <w:tab/>
              <w:t>8</w:t>
            </w:r>
            <w:r>
              <w:rPr/>
            </w:r>
          </w:hyperlink>
        </w:p>
        <w:p>
          <w:pPr>
            <w:pStyle w:val="TOC3"/>
            <w:tabs>
              <w:tab w:pos="9785" w:val="right" w:leader="dot"/>
            </w:tabs>
            <w:spacing w:line="240" w:lineRule="auto" w:before="109"/>
            <w:ind w:right="0"/>
            <w:jc w:val="left"/>
          </w:pPr>
          <w:hyperlink w:history="true" w:anchor="_TOC_250010">
            <w:r>
              <w:rPr/>
              <w:t>The Anglesea Coal</w:t>
            </w:r>
            <w:r>
              <w:rPr>
                <w:spacing w:val="-3"/>
              </w:rPr>
              <w:t> </w:t>
            </w:r>
            <w:r>
              <w:rPr/>
              <w:t>Mine</w:t>
              <w:tab/>
              <w:t>8</w:t>
            </w:r>
          </w:hyperlink>
        </w:p>
        <w:p>
          <w:pPr>
            <w:pStyle w:val="TOC3"/>
            <w:tabs>
              <w:tab w:pos="9785" w:val="right" w:leader="dot"/>
            </w:tabs>
            <w:spacing w:line="240" w:lineRule="auto"/>
            <w:ind w:right="0"/>
            <w:jc w:val="left"/>
          </w:pPr>
          <w:hyperlink w:history="true" w:anchor="_TOC_250009">
            <w:r>
              <w:rPr/>
              <w:t>Coal Mine Emergency Management Taskforce - Surf</w:t>
            </w:r>
            <w:r>
              <w:rPr>
                <w:spacing w:val="-6"/>
              </w:rPr>
              <w:t> </w:t>
            </w:r>
            <w:r>
              <w:rPr/>
              <w:t>Coast</w:t>
              <w:tab/>
              <w:t>9</w:t>
            </w:r>
          </w:hyperlink>
        </w:p>
        <w:p>
          <w:pPr>
            <w:pStyle w:val="TOC3"/>
            <w:tabs>
              <w:tab w:pos="9785" w:val="right" w:leader="dot"/>
            </w:tabs>
            <w:spacing w:line="240" w:lineRule="auto" w:before="1"/>
            <w:ind w:right="0"/>
            <w:jc w:val="left"/>
          </w:pPr>
          <w:hyperlink w:history="true" w:anchor="_TOC_250008">
            <w:r>
              <w:rPr/>
              <w:t>Anglesea Heath</w:t>
              <w:tab/>
              <w:t>9</w:t>
            </w:r>
          </w:hyperlink>
        </w:p>
        <w:p>
          <w:pPr>
            <w:pStyle w:val="TOC3"/>
            <w:tabs>
              <w:tab w:pos="9786" w:val="right" w:leader="dot"/>
            </w:tabs>
            <w:spacing w:line="240" w:lineRule="auto"/>
            <w:ind w:right="0"/>
            <w:jc w:val="left"/>
          </w:pPr>
          <w:hyperlink w:history="true" w:anchor="_TOC_250007">
            <w:r>
              <w:rPr/>
              <w:t>Management of the</w:t>
            </w:r>
            <w:r>
              <w:rPr>
                <w:spacing w:val="-4"/>
              </w:rPr>
              <w:t> </w:t>
            </w:r>
            <w:r>
              <w:rPr/>
              <w:t>Heath</w:t>
              <w:tab/>
              <w:t>10</w:t>
            </w:r>
          </w:hyperlink>
        </w:p>
        <w:p>
          <w:pPr>
            <w:pStyle w:val="TOC3"/>
            <w:tabs>
              <w:tab w:pos="9786" w:val="right" w:leader="dot"/>
            </w:tabs>
            <w:spacing w:line="240" w:lineRule="auto"/>
            <w:ind w:right="0"/>
            <w:jc w:val="left"/>
          </w:pPr>
          <w:hyperlink w:history="true" w:anchor="_TOC_250006">
            <w:r>
              <w:rPr/>
              <w:t>Fire Management for the</w:t>
            </w:r>
            <w:r>
              <w:rPr>
                <w:spacing w:val="-4"/>
              </w:rPr>
              <w:t> </w:t>
            </w:r>
            <w:r>
              <w:rPr/>
              <w:t>Heath</w:t>
              <w:tab/>
              <w:t>11</w:t>
            </w:r>
          </w:hyperlink>
        </w:p>
        <w:p>
          <w:pPr>
            <w:pStyle w:val="TOC4"/>
            <w:tabs>
              <w:tab w:pos="9784" w:val="right" w:leader="none"/>
            </w:tabs>
            <w:spacing w:line="240" w:lineRule="auto"/>
            <w:ind w:right="0"/>
            <w:jc w:val="left"/>
          </w:pPr>
          <w:hyperlink w:history="true" w:anchor="_TOC_250005">
            <w:r>
              <w:rPr/>
              <w:t>Prevention</w:t>
              <w:tab/>
              <w:t>13</w:t>
            </w:r>
          </w:hyperlink>
        </w:p>
        <w:p>
          <w:pPr>
            <w:pStyle w:val="TOC4"/>
            <w:tabs>
              <w:tab w:pos="9784" w:val="right" w:leader="none"/>
            </w:tabs>
            <w:spacing w:line="240" w:lineRule="auto"/>
            <w:ind w:right="0"/>
            <w:jc w:val="left"/>
          </w:pPr>
          <w:hyperlink w:history="true" w:anchor="_TOC_250004">
            <w:r>
              <w:rPr/>
              <w:t>Preparedness</w:t>
              <w:tab/>
              <w:t>16</w:t>
            </w:r>
          </w:hyperlink>
        </w:p>
        <w:p>
          <w:pPr>
            <w:pStyle w:val="TOC4"/>
            <w:tabs>
              <w:tab w:pos="9784" w:val="right" w:leader="none"/>
            </w:tabs>
            <w:spacing w:line="240" w:lineRule="auto"/>
            <w:ind w:right="0"/>
            <w:jc w:val="left"/>
          </w:pPr>
          <w:hyperlink w:history="true" w:anchor="_TOC_250003">
            <w:r>
              <w:rPr/>
              <w:t>Response</w:t>
              <w:tab/>
              <w:t>20</w:t>
            </w:r>
          </w:hyperlink>
        </w:p>
        <w:p>
          <w:pPr>
            <w:pStyle w:val="TOC4"/>
            <w:tabs>
              <w:tab w:pos="9784" w:val="right" w:leader="none"/>
            </w:tabs>
            <w:spacing w:line="240" w:lineRule="auto"/>
            <w:ind w:right="0"/>
            <w:jc w:val="left"/>
          </w:pPr>
          <w:hyperlink w:history="true" w:anchor="_TOC_250002">
            <w:r>
              <w:rPr/>
              <w:t>Recovery</w:t>
              <w:tab/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9" w:val="left" w:leader="none"/>
            </w:tabs>
            <w:spacing w:line="324" w:lineRule="exact" w:before="216" w:after="0"/>
            <w:ind w:left="718" w:right="0" w:hanging="567"/>
            <w:jc w:val="left"/>
          </w:pPr>
          <w:r>
            <w:rPr>
              <w:color w:val="4B4B4B"/>
            </w:rPr>
            <w:t>Fire responses within the Anglesea Coal Mine and Anglesea</w:t>
          </w:r>
          <w:r>
            <w:rPr>
              <w:color w:val="4B4B4B"/>
              <w:spacing w:val="-18"/>
            </w:rPr>
            <w:t> </w:t>
          </w:r>
          <w:r>
            <w:rPr>
              <w:color w:val="4B4B4B"/>
            </w:rPr>
            <w:t>Power</w:t>
          </w:r>
          <w:r>
            <w:rPr/>
          </w:r>
        </w:p>
        <w:p>
          <w:pPr>
            <w:pStyle w:val="TOC2"/>
            <w:tabs>
              <w:tab w:pos="9798" w:val="right" w:leader="dot"/>
            </w:tabs>
            <w:spacing w:line="324" w:lineRule="exact"/>
            <w:ind w:right="0"/>
            <w:jc w:val="left"/>
          </w:pPr>
          <w:r>
            <w:rPr>
              <w:color w:val="4B4B4B"/>
            </w:rPr>
            <w:t>Station</w:t>
            <w:tab/>
            <w:t>22</w:t>
          </w:r>
          <w:r>
            <w:rPr/>
          </w:r>
        </w:p>
        <w:p>
          <w:pPr>
            <w:pStyle w:val="TOC3"/>
            <w:tabs>
              <w:tab w:pos="9786" w:val="right" w:leader="dot"/>
            </w:tabs>
            <w:spacing w:line="240" w:lineRule="auto" w:before="109"/>
            <w:ind w:right="0"/>
            <w:jc w:val="left"/>
          </w:pPr>
          <w:hyperlink w:history="true" w:anchor="_TOC_250001">
            <w:r>
              <w:rPr/>
              <w:t>Alcoa Anglesea CFA</w:t>
            </w:r>
            <w:r>
              <w:rPr>
                <w:spacing w:val="-4"/>
              </w:rPr>
              <w:t> </w:t>
            </w:r>
            <w:r>
              <w:rPr/>
              <w:t>PIP</w:t>
              <w:tab/>
              <w:t>22</w:t>
            </w:r>
          </w:hyperlink>
        </w:p>
        <w:p>
          <w:pPr>
            <w:pStyle w:val="TOC3"/>
            <w:tabs>
              <w:tab w:pos="9786" w:val="right" w:leader="dot"/>
            </w:tabs>
            <w:spacing w:line="240" w:lineRule="auto"/>
            <w:ind w:right="0"/>
            <w:jc w:val="left"/>
          </w:pPr>
          <w:hyperlink w:history="true" w:anchor="_TOC_250000">
            <w:r>
              <w:rPr/>
              <w:t>Next Steps</w:t>
              <w:tab/>
              <w:t>23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1125" w:top="1560" w:bottom="1380" w:left="1260" w:right="740"/>
        </w:sectPr>
      </w:pPr>
    </w:p>
    <w:p>
      <w:pPr>
        <w:pStyle w:val="Heading1"/>
        <w:numPr>
          <w:ilvl w:val="0"/>
          <w:numId w:val="2"/>
        </w:numPr>
        <w:tabs>
          <w:tab w:pos="946" w:val="left" w:leader="none"/>
        </w:tabs>
        <w:spacing w:line="240" w:lineRule="auto" w:before="2" w:after="0"/>
        <w:ind w:left="946" w:right="0" w:hanging="795"/>
        <w:jc w:val="left"/>
      </w:pPr>
      <w:bookmarkStart w:name="_TOC_250016" w:id="1"/>
      <w:r>
        <w:rPr>
          <w:color w:val="1664A0"/>
        </w:rPr>
        <w:t>Glossary</w:t>
      </w:r>
      <w:bookmarkEnd w:id="1"/>
      <w:r>
        <w:rPr/>
      </w:r>
    </w:p>
    <w:p>
      <w:pPr>
        <w:pStyle w:val="BodyText"/>
        <w:spacing w:line="240" w:lineRule="auto" w:before="240"/>
        <w:ind w:right="0" w:firstLine="0"/>
        <w:jc w:val="left"/>
      </w:pPr>
      <w:r>
        <w:rPr/>
        <w:t>Common terms used throughout this Submission</w:t>
      </w:r>
      <w:r>
        <w:rPr>
          <w:spacing w:val="-14"/>
        </w:rPr>
        <w:t> </w:t>
      </w:r>
      <w:r>
        <w:rPr/>
        <w:t>include:</w:t>
      </w:r>
    </w:p>
    <w:p>
      <w:pPr>
        <w:spacing w:line="240" w:lineRule="auto" w:before="8"/>
        <w:rPr>
          <w:rFonts w:ascii="Calibri" w:hAnsi="Calibri" w:cs="Calibri" w:eastAsia="Calibri"/>
          <w:sz w:val="11"/>
          <w:szCs w:val="11"/>
        </w:rPr>
      </w:pPr>
    </w:p>
    <w:tbl>
      <w:tblPr>
        <w:tblCellSpacing w:w="9" w:type="dxa"/>
        <w:tblW w:w="0" w:type="auto"/>
        <w:jc w:val="left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6152"/>
      </w:tblGrid>
      <w:tr>
        <w:trPr>
          <w:trHeight w:val="314" w:hRule="exact"/>
        </w:trPr>
        <w:tc>
          <w:tcPr>
            <w:tcW w:w="2372" w:type="dxa"/>
            <w:tcBorders>
              <w:top w:val="nil" w:sz="6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Alcoa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6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Alcoa of Australia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Limited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29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Alcoa</w:t>
            </w:r>
            <w:r>
              <w:rPr>
                <w:rFonts w:ascii="Calibri"/>
                <w:color w:val="FFFFFF"/>
                <w:spacing w:val="-1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Anglesea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Coordination</w:t>
            </w:r>
            <w:r>
              <w:rPr>
                <w:rFonts w:ascii="Calibri"/>
                <w:color w:val="FFFFFF"/>
                <w:spacing w:val="-11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Committee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10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whole of Victorian Government Committee established to respond</w:t>
            </w:r>
            <w:r>
              <w:rPr>
                <w:rFonts w:ascii="Calibri"/>
                <w:spacing w:val="-19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the Anglesea mine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closure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71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Alcoa Anglesea</w:t>
            </w:r>
            <w:r>
              <w:rPr>
                <w:rFonts w:ascii="Calibri"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Pre-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Incident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Plan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Alcoa Anglesea Pre-Incident Plan, April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2015</w:t>
            </w:r>
          </w:p>
        </w:tc>
      </w:tr>
      <w:tr>
        <w:trPr>
          <w:trHeight w:val="570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17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Anglesea Local</w:t>
            </w:r>
            <w:r>
              <w:rPr>
                <w:rFonts w:ascii="Calibri"/>
                <w:color w:val="FFFFFF"/>
                <w:spacing w:val="-11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Emergency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Planning</w:t>
            </w:r>
            <w:r>
              <w:rPr>
                <w:rFonts w:ascii="Calibri"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Factors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119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Anglesea Local Emergency Planning Factors</w:t>
            </w:r>
            <w:r>
              <w:rPr>
                <w:rFonts w:ascii="Calibri"/>
                <w:spacing w:val="-18"/>
                <w:sz w:val="20"/>
              </w:rPr>
              <w:t> </w:t>
            </w:r>
            <w:r>
              <w:rPr>
                <w:rFonts w:ascii="Calibri"/>
                <w:sz w:val="20"/>
              </w:rPr>
              <w:t>2012-2013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Anglesea Coal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Mine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9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open cut coal mine at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z w:val="20"/>
              </w:rPr>
              <w:t>Anglesea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29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color w:val="FFFFFF"/>
                <w:sz w:val="20"/>
                <w:szCs w:val="20"/>
              </w:rPr>
              <w:t>Anglesea Local</w:t>
            </w:r>
            <w:r>
              <w:rPr>
                <w:rFonts w:ascii="Calibri" w:hAnsi="Calibri" w:cs="Calibri" w:eastAsia="Calibri"/>
                <w:color w:val="FFFFFF"/>
                <w:spacing w:val="-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FFFFFF"/>
                <w:sz w:val="20"/>
                <w:szCs w:val="20"/>
              </w:rPr>
              <w:t>Response</w:t>
            </w:r>
            <w:r>
              <w:rPr>
                <w:rFonts w:ascii="Calibri" w:hAnsi="Calibri" w:cs="Calibri" w:eastAsia="Calibri"/>
                <w:color w:val="FFFFFF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FFFFFF"/>
                <w:sz w:val="20"/>
                <w:szCs w:val="20"/>
              </w:rPr>
              <w:t>Plan </w:t>
            </w:r>
            <w:r>
              <w:rPr>
                <w:rFonts w:ascii="Calibri" w:hAnsi="Calibri" w:cs="Calibri" w:eastAsia="Calibri"/>
                <w:color w:val="FFFFFF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color w:val="FFFFFF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FFFFFF"/>
                <w:sz w:val="20"/>
                <w:szCs w:val="20"/>
              </w:rPr>
              <w:t>Bushfires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Anglesea Local Response Plan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–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Bushfires, February</w:t>
            </w:r>
            <w:r>
              <w:rPr>
                <w:rFonts w:ascii="Calibri" w:hAnsi="Calibri" w:cs="Calibri" w:eastAsia="Calibri"/>
                <w:spacing w:val="-1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2015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82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Anglesea</w:t>
            </w:r>
            <w:r>
              <w:rPr>
                <w:rFonts w:ascii="Calibri"/>
                <w:color w:val="FFFFFF"/>
                <w:spacing w:val="-2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Heath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Management</w:t>
            </w:r>
            <w:r>
              <w:rPr>
                <w:rFonts w:ascii="Calibri"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Plan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Anglesea Heath Management Plan</w:t>
            </w:r>
            <w:r>
              <w:rPr>
                <w:rFonts w:ascii="Calibri"/>
                <w:spacing w:val="-19"/>
                <w:sz w:val="20"/>
              </w:rPr>
              <w:t> </w:t>
            </w:r>
            <w:r>
              <w:rPr>
                <w:rFonts w:ascii="Calibri"/>
                <w:sz w:val="20"/>
              </w:rPr>
              <w:t>(2002)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Anglesea Power</w:t>
            </w:r>
            <w:r>
              <w:rPr>
                <w:rFonts w:ascii="Calibri"/>
                <w:color w:val="FFFFFF"/>
                <w:spacing w:val="-10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Station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power station adjoining the Anglesea Coal</w:t>
            </w:r>
            <w:r>
              <w:rPr>
                <w:rFonts w:ascii="Calibri"/>
                <w:spacing w:val="-17"/>
                <w:sz w:val="20"/>
              </w:rPr>
              <w:t> </w:t>
            </w:r>
            <w:r>
              <w:rPr>
                <w:rFonts w:ascii="Calibri"/>
                <w:sz w:val="20"/>
              </w:rPr>
              <w:t>Mine</w:t>
            </w:r>
          </w:p>
        </w:tc>
      </w:tr>
      <w:tr>
        <w:trPr>
          <w:trHeight w:val="1546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39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Barwon Otway</w:t>
            </w:r>
            <w:r>
              <w:rPr>
                <w:rFonts w:ascii="Calibri"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Bushfire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Risk</w:t>
            </w:r>
            <w:r>
              <w:rPr>
                <w:rFonts w:ascii="Calibri"/>
                <w:color w:val="FFFFFF"/>
                <w:spacing w:val="-8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Landscape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9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11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Barwon Otway Bushfire Risk Landscape is in the south west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Victoria, extending north from Skipton, south to Cape Otway, east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Queenscliff and west to Port Campbell. The landscape includes the City</w:t>
            </w:r>
            <w:r>
              <w:rPr>
                <w:rFonts w:ascii="Calibri"/>
                <w:spacing w:val="-22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Greater Geelong, the Borough of Queenscliff, Colac Otway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Shire,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Corangamite Shire and Surf Coast Shire (containing Anglesea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z w:val="20"/>
              </w:rPr>
              <w:t>town,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Anglesea Coal Mine and the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Heath)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Barwon Otway</w:t>
            </w:r>
            <w:r>
              <w:rPr>
                <w:rFonts w:ascii="Calibri"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Plan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9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57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Strategic Bushfire Management Plan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–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Barwon Otway Bushfires</w:t>
            </w:r>
            <w:r>
              <w:rPr>
                <w:rFonts w:ascii="Calibri" w:hAnsi="Calibri" w:cs="Calibri" w:eastAsia="Calibri"/>
                <w:spacing w:val="-1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Risk</w:t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Landscape</w:t>
            </w:r>
            <w:r>
              <w:rPr>
                <w:rFonts w:ascii="Calibri" w:hAnsi="Calibri" w:cs="Calibri" w:eastAsia="Calibri"/>
                <w:spacing w:val="-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2014</w:t>
            </w:r>
          </w:p>
        </w:tc>
      </w:tr>
      <w:tr>
        <w:trPr>
          <w:trHeight w:val="570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Barwon South West</w:t>
            </w:r>
            <w:r>
              <w:rPr>
                <w:rFonts w:ascii="Calibri"/>
                <w:color w:val="FFFFFF"/>
                <w:spacing w:val="-11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Region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9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8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Barwon South Western region covers south western Victoria and</w:t>
            </w:r>
            <w:r>
              <w:rPr>
                <w:rFonts w:ascii="Calibri"/>
                <w:spacing w:val="-18"/>
                <w:sz w:val="20"/>
              </w:rPr>
              <w:t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bounded by Lara to the east and the border of South Australia to the</w:t>
            </w:r>
            <w:r>
              <w:rPr>
                <w:rFonts w:ascii="Calibri"/>
                <w:spacing w:val="-29"/>
                <w:sz w:val="20"/>
              </w:rPr>
              <w:t> </w:t>
            </w:r>
            <w:r>
              <w:rPr>
                <w:rFonts w:ascii="Calibri"/>
                <w:sz w:val="20"/>
              </w:rPr>
              <w:t>west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70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Barwon South</w:t>
            </w:r>
            <w:r>
              <w:rPr>
                <w:rFonts w:ascii="Calibri"/>
                <w:color w:val="FFFFFF"/>
                <w:spacing w:val="-8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West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Response</w:t>
            </w:r>
            <w:r>
              <w:rPr>
                <w:rFonts w:ascii="Calibri"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Plan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38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Barwon South West Region 2014/15 Bushfire Readiness and</w:t>
            </w:r>
            <w:r>
              <w:rPr>
                <w:rFonts w:ascii="Calibri"/>
                <w:spacing w:val="-19"/>
                <w:sz w:val="20"/>
              </w:rPr>
              <w:t> </w:t>
            </w:r>
            <w:r>
              <w:rPr>
                <w:rFonts w:ascii="Calibri"/>
                <w:sz w:val="20"/>
              </w:rPr>
              <w:t>Response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Plan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9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Barwon South West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Region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FOP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Fire Operations Plan Barwon South West Region 2014/15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spacing w:val="-2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2016/17</w:t>
            </w:r>
          </w:p>
        </w:tc>
      </w:tr>
      <w:tr>
        <w:trPr>
          <w:trHeight w:val="81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Board of</w:t>
            </w:r>
            <w:r>
              <w:rPr>
                <w:rFonts w:ascii="Calibri"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Inquiry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29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Board of Inquiry into the Hazelwood Coal Mine Fire,</w:t>
            </w:r>
            <w:r>
              <w:rPr>
                <w:rFonts w:ascii="Calibri"/>
                <w:spacing w:val="34"/>
                <w:sz w:val="20"/>
              </w:rPr>
              <w:t> </w:t>
            </w:r>
            <w:r>
              <w:rPr>
                <w:rFonts w:ascii="Calibri"/>
                <w:sz w:val="20"/>
              </w:rPr>
              <w:t>comprising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the Honourable Bernard Teague AO (Chair), Professor John Catford</w:t>
            </w:r>
            <w:r>
              <w:rPr>
                <w:rFonts w:ascii="Calibri"/>
                <w:spacing w:val="-23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Mrs Anita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Roper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Alcoa Anglesea CFA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PIP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57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Alcoa Anglesea County Fire Authority Operational Pre-Incident</w:t>
            </w:r>
            <w:r>
              <w:rPr>
                <w:rFonts w:ascii="Calibri"/>
                <w:spacing w:val="-17"/>
                <w:sz w:val="20"/>
              </w:rPr>
              <w:t> </w:t>
            </w:r>
            <w:r>
              <w:rPr>
                <w:rFonts w:ascii="Calibri"/>
                <w:sz w:val="20"/>
              </w:rPr>
              <w:t>Plan,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ANGL0027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Chief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Officer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45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individual designated, under the </w:t>
            </w:r>
            <w:r>
              <w:rPr>
                <w:rFonts w:ascii="Calibri"/>
                <w:i/>
                <w:sz w:val="20"/>
              </w:rPr>
              <w:t>Emergency Services Act 2013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9"/>
                <w:sz w:val="20"/>
              </w:rPr>
              <w:t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having overall control of the response activities in relation to a</w:t>
            </w:r>
            <w:r>
              <w:rPr>
                <w:rFonts w:ascii="Calibri"/>
                <w:spacing w:val="-27"/>
                <w:sz w:val="20"/>
              </w:rPr>
              <w:t> </w:t>
            </w:r>
            <w:r>
              <w:rPr>
                <w:rFonts w:ascii="Calibri"/>
                <w:sz w:val="20"/>
              </w:rPr>
              <w:t>fire</w:t>
            </w:r>
          </w:p>
        </w:tc>
      </w:tr>
      <w:tr>
        <w:trPr>
          <w:trHeight w:val="56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50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Code of Practice</w:t>
            </w:r>
            <w:r>
              <w:rPr>
                <w:rFonts w:ascii="Calibri"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for</w:t>
            </w:r>
            <w:r>
              <w:rPr>
                <w:rFonts w:ascii="Calibri"/>
                <w:color w:val="FFFFFF"/>
                <w:spacing w:val="-1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Bushfire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Management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Code of Practice for Bushfire Management on Public Land</w:t>
            </w:r>
            <w:r>
              <w:rPr>
                <w:rFonts w:ascii="Calibri"/>
                <w:spacing w:val="-27"/>
                <w:sz w:val="20"/>
              </w:rPr>
              <w:t> </w:t>
            </w:r>
            <w:r>
              <w:rPr>
                <w:rFonts w:ascii="Calibri"/>
                <w:sz w:val="20"/>
              </w:rPr>
              <w:t>(2012)</w:t>
            </w:r>
          </w:p>
        </w:tc>
      </w:tr>
      <w:tr>
        <w:trPr>
          <w:trHeight w:val="1059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26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Cooperative</w:t>
            </w:r>
            <w:r>
              <w:rPr>
                <w:rFonts w:ascii="Calibri"/>
                <w:color w:val="FFFFFF"/>
                <w:spacing w:val="-2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Land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Management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Agreement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5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Cooperative Land Management Agreement (2000) between Alcoa</w:t>
            </w:r>
            <w:r>
              <w:rPr>
                <w:rFonts w:ascii="Calibri"/>
                <w:spacing w:val="-2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the former Department of Natural Resources and Environment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z w:val="20"/>
              </w:rPr>
              <w:t>(now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Department of Environment, Land, Water and Planning) for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management of Anglesea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Heath</w:t>
            </w:r>
          </w:p>
        </w:tc>
      </w:tr>
      <w:tr>
        <w:trPr>
          <w:trHeight w:val="31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6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ESTA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Emergency Services Telecommunications</w:t>
            </w:r>
            <w:r>
              <w:rPr>
                <w:rFonts w:ascii="Calibri"/>
                <w:spacing w:val="-18"/>
                <w:sz w:val="20"/>
              </w:rPr>
              <w:t> </w:t>
            </w:r>
            <w:r>
              <w:rPr>
                <w:rFonts w:ascii="Calibri"/>
                <w:sz w:val="20"/>
              </w:rPr>
              <w:t>Authority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0" w:footer="1125" w:top="1560" w:bottom="1380" w:left="1260" w:right="1120"/>
        </w:sectPr>
      </w:pPr>
    </w:p>
    <w:p>
      <w:pPr>
        <w:spacing w:line="240" w:lineRule="auto" w:before="11"/>
        <w:rPr>
          <w:rFonts w:ascii="Calibri" w:hAnsi="Calibri" w:cs="Calibri" w:eastAsia="Calibri"/>
          <w:sz w:val="6"/>
          <w:szCs w:val="6"/>
        </w:rPr>
      </w:pPr>
    </w:p>
    <w:tbl>
      <w:tblPr>
        <w:tblCellSpacing w:w="9" w:type="dxa"/>
        <w:tblW w:w="0" w:type="auto"/>
        <w:jc w:val="left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6152"/>
      </w:tblGrid>
      <w:tr>
        <w:trPr>
          <w:trHeight w:val="315" w:hRule="exact"/>
        </w:trPr>
        <w:tc>
          <w:tcPr>
            <w:tcW w:w="2372" w:type="dxa"/>
            <w:tcBorders>
              <w:top w:val="nil" w:sz="6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HAZMAT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6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Hazardous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materials</w:t>
            </w:r>
          </w:p>
        </w:tc>
      </w:tr>
      <w:tr>
        <w:trPr>
          <w:trHeight w:val="32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Heath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Anglesea Heath that adjoins the Great Otway National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Park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Hazelwood Coal Mine</w:t>
            </w:r>
            <w:r>
              <w:rPr>
                <w:rFonts w:ascii="Calibri"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Fire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fire at the Hazelwood Coal Mine in February and March</w:t>
            </w:r>
            <w:r>
              <w:rPr>
                <w:rFonts w:ascii="Calibri"/>
                <w:spacing w:val="-24"/>
                <w:sz w:val="20"/>
              </w:rPr>
              <w:t> </w:t>
            </w:r>
            <w:r>
              <w:rPr>
                <w:rFonts w:ascii="Calibri"/>
                <w:sz w:val="20"/>
              </w:rPr>
              <w:t>2014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Latrobe Valley coal</w:t>
            </w:r>
            <w:r>
              <w:rPr>
                <w:rFonts w:ascii="Calibri"/>
                <w:color w:val="FFFFFF"/>
                <w:spacing w:val="-12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mines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9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The Loy Yang, Hazelwood and Yallourn coal mines in the Latrobe</w:t>
            </w:r>
            <w:r>
              <w:rPr>
                <w:rFonts w:ascii="Calibri"/>
                <w:spacing w:val="-31"/>
                <w:sz w:val="20"/>
              </w:rPr>
              <w:t> </w:t>
            </w:r>
            <w:r>
              <w:rPr>
                <w:rFonts w:ascii="Calibri"/>
                <w:sz w:val="20"/>
              </w:rPr>
              <w:t>Valley</w:t>
            </w:r>
          </w:p>
        </w:tc>
      </w:tr>
      <w:tr>
        <w:trPr>
          <w:trHeight w:val="1301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26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Management</w:t>
            </w:r>
            <w:r>
              <w:rPr>
                <w:rFonts w:ascii="Calibri"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Agreement</w:t>
            </w:r>
            <w:r>
              <w:rPr>
                <w:rFonts w:ascii="Calibri"/>
                <w:color w:val="FFFFFF"/>
                <w:w w:val="9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2013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7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Management Agreement 2013 between the Secretary to the</w:t>
            </w:r>
            <w:r>
              <w:rPr>
                <w:rFonts w:ascii="Calibri" w:hAnsi="Calibri" w:cs="Calibri" w:eastAsia="Calibri"/>
                <w:spacing w:val="-1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Department</w:t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of Environment and Primary Industries and Parks Victoria, which sets</w:t>
            </w:r>
            <w:r>
              <w:rPr>
                <w:rFonts w:ascii="Calibri" w:hAnsi="Calibri" w:cs="Calibri" w:eastAsia="Calibri"/>
                <w:spacing w:val="-1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out</w:t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the arrangements for the management of the parks and reserves estate</w:t>
            </w:r>
            <w:r>
              <w:rPr>
                <w:rFonts w:ascii="Calibri" w:hAnsi="Calibri" w:cs="Calibri" w:eastAsia="Calibri"/>
                <w:spacing w:val="-3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Victoria and the delivery of land management services necessary</w:t>
            </w:r>
            <w:r>
              <w:rPr>
                <w:rFonts w:ascii="Calibri" w:hAnsi="Calibri" w:cs="Calibri" w:eastAsia="Calibri"/>
                <w:spacing w:val="-1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implement the objectives of Victoria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s land</w:t>
            </w:r>
            <w:r>
              <w:rPr>
                <w:rFonts w:ascii="Calibri" w:hAnsi="Calibri" w:cs="Calibri" w:eastAsia="Calibri"/>
                <w:spacing w:val="-2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legislation</w:t>
            </w:r>
          </w:p>
        </w:tc>
      </w:tr>
      <w:tr>
        <w:trPr>
          <w:trHeight w:val="1058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PHOENIX</w:t>
            </w:r>
            <w:r>
              <w:rPr>
                <w:rFonts w:ascii="Calibri"/>
                <w:color w:val="FFFFFF"/>
                <w:spacing w:val="-8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Rapidfire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10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Bushfire simulation software developed by the University of</w:t>
            </w:r>
            <w:r>
              <w:rPr>
                <w:rFonts w:ascii="Calibri"/>
                <w:spacing w:val="-21"/>
                <w:sz w:val="20"/>
              </w:rPr>
              <w:t> </w:t>
            </w:r>
            <w:r>
              <w:rPr>
                <w:rFonts w:ascii="Calibri"/>
                <w:sz w:val="20"/>
              </w:rPr>
              <w:t>Melbourne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and the Bushfire Co-operative Research Centre, together with the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former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Department of Environment and Primary Industries (now the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Department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of Environment, Land, Water and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Planning)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Register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Register of the National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Estate</w:t>
            </w:r>
          </w:p>
        </w:tc>
      </w:tr>
      <w:tr>
        <w:trPr>
          <w:trHeight w:val="81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Surf Coast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Taskforce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147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Coal Mine Emergency Management Taskforce - Surf Coast, established</w:t>
            </w:r>
            <w:r>
              <w:rPr>
                <w:rFonts w:ascii="Calibri"/>
                <w:spacing w:val="-23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examine preparedness for the 2014/15 and 2015/16 summer seasons</w:t>
            </w:r>
            <w:r>
              <w:rPr>
                <w:rFonts w:ascii="Calibri"/>
                <w:spacing w:val="-21"/>
                <w:sz w:val="20"/>
              </w:rPr>
              <w:t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the Anglesea Coal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Mine</w:t>
            </w:r>
          </w:p>
        </w:tc>
      </w:tr>
      <w:tr>
        <w:trPr>
          <w:trHeight w:val="81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This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Submission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25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The Government’s Submission to the Hazelwood Coal Mine Fire</w:t>
            </w:r>
            <w:r>
              <w:rPr>
                <w:rFonts w:ascii="Calibri" w:hAnsi="Calibri" w:cs="Calibri" w:eastAsia="Calibri"/>
                <w:spacing w:val="-1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Inquiry,</w:t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titled </w:t>
            </w:r>
            <w:r>
              <w:rPr>
                <w:rFonts w:ascii="Calibri" w:hAnsi="Calibri" w:cs="Calibri" w:eastAsia="Calibri"/>
                <w:i/>
                <w:sz w:val="20"/>
                <w:szCs w:val="20"/>
              </w:rPr>
              <w:t>Submission from the Victorian Government </w:t>
            </w:r>
            <w:r>
              <w:rPr>
                <w:rFonts w:ascii="Calibri" w:hAnsi="Calibri" w:cs="Calibri" w:eastAsia="Calibri"/>
                <w:i/>
                <w:sz w:val="20"/>
                <w:szCs w:val="20"/>
              </w:rPr>
              <w:t>– </w:t>
            </w:r>
            <w:r>
              <w:rPr>
                <w:rFonts w:ascii="Calibri" w:hAnsi="Calibri" w:cs="Calibri" w:eastAsia="Calibri"/>
                <w:i/>
                <w:sz w:val="20"/>
                <w:szCs w:val="20"/>
              </w:rPr>
              <w:t>Anglesea Coal</w:t>
            </w:r>
            <w:r>
              <w:rPr>
                <w:rFonts w:ascii="Calibri" w:hAnsi="Calibri" w:cs="Calibri" w:eastAsia="Calibri"/>
                <w:i/>
                <w:spacing w:val="-2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i/>
                <w:sz w:val="20"/>
                <w:szCs w:val="20"/>
              </w:rPr>
              <w:t>Mine</w:t>
            </w:r>
            <w:r>
              <w:rPr>
                <w:rFonts w:ascii="Calibri" w:hAnsi="Calibri" w:cs="Calibri" w:eastAsia="Calibri"/>
                <w:i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i/>
                <w:sz w:val="20"/>
                <w:szCs w:val="20"/>
              </w:rPr>
              <w:t>July</w:t>
            </w:r>
            <w:r>
              <w:rPr>
                <w:rFonts w:ascii="Calibri" w:hAnsi="Calibri" w:cs="Calibri" w:eastAsia="Calibri"/>
                <w:i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i/>
                <w:sz w:val="20"/>
                <w:szCs w:val="20"/>
              </w:rPr>
              <w:t>2015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</w:tr>
      <w:tr>
        <w:trPr>
          <w:trHeight w:val="32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Township Protection</w:t>
            </w:r>
            <w:r>
              <w:rPr>
                <w:rFonts w:ascii="Calibri"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Plan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Township Protection Plan, November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z w:val="20"/>
              </w:rPr>
              <w:t>2011</w:t>
            </w:r>
          </w:p>
        </w:tc>
      </w:tr>
      <w:tr>
        <w:trPr>
          <w:trHeight w:val="31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6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2014 Inquiry</w:t>
            </w:r>
            <w:r>
              <w:rPr>
                <w:rFonts w:ascii="Calibri"/>
                <w:color w:val="FFFFFF"/>
                <w:spacing w:val="-8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Report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152" w:type="dxa"/>
            <w:tcBorders>
              <w:top w:val="nil" w:sz="8" w:space="0" w:color="auto"/>
              <w:left w:val="nil" w:sz="8" w:space="0" w:color="auto"/>
              <w:bottom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Hazelwood Coal Mine Fire Inquiry Report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z w:val="20"/>
              </w:rPr>
              <w:t>2014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56"/>
        <w:ind w:left="871" w:right="0" w:firstLine="0"/>
        <w:jc w:val="left"/>
      </w:pPr>
      <w:r>
        <w:rPr/>
        <w:t>The following acronyms are used throughout this</w:t>
      </w:r>
      <w:r>
        <w:rPr>
          <w:spacing w:val="-20"/>
        </w:rPr>
        <w:t> </w:t>
      </w:r>
      <w:r>
        <w:rPr/>
        <w:t>Submission:</w:t>
      </w:r>
    </w:p>
    <w:p>
      <w:pPr>
        <w:spacing w:line="240" w:lineRule="auto" w:before="8"/>
        <w:rPr>
          <w:rFonts w:ascii="Calibri" w:hAnsi="Calibri" w:cs="Calibri" w:eastAsia="Calibri"/>
          <w:sz w:val="11"/>
          <w:szCs w:val="11"/>
        </w:rPr>
      </w:pPr>
    </w:p>
    <w:tbl>
      <w:tblPr>
        <w:tblCellSpacing w:w="9" w:type="dxa"/>
        <w:tblW w:w="0" w:type="auto"/>
        <w:jc w:val="left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6085"/>
      </w:tblGrid>
      <w:tr>
        <w:trPr>
          <w:trHeight w:val="314" w:hRule="exact"/>
        </w:trPr>
        <w:tc>
          <w:tcPr>
            <w:tcW w:w="2372" w:type="dxa"/>
            <w:tcBorders>
              <w:top w:val="nil" w:sz="6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CFA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6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Country Fire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Authority</w:t>
            </w:r>
          </w:p>
        </w:tc>
      </w:tr>
      <w:tr>
        <w:trPr>
          <w:trHeight w:val="326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CFL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Conservation, Forests and Lands Act 1987</w:t>
            </w:r>
            <w:r>
              <w:rPr>
                <w:rFonts w:ascii="Calibri"/>
                <w:i/>
                <w:spacing w:val="-19"/>
                <w:sz w:val="20"/>
              </w:rPr>
              <w:t> </w:t>
            </w:r>
            <w:r>
              <w:rPr>
                <w:rFonts w:ascii="Calibri"/>
                <w:sz w:val="20"/>
              </w:rPr>
              <w:t>(Vic)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DEDJTR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9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Department of Economic Development, Jobs Resources and</w:t>
            </w:r>
            <w:r>
              <w:rPr>
                <w:rFonts w:ascii="Calibri"/>
                <w:spacing w:val="-27"/>
                <w:sz w:val="20"/>
              </w:rPr>
              <w:t> </w:t>
            </w:r>
            <w:r>
              <w:rPr>
                <w:rFonts w:ascii="Calibri"/>
                <w:sz w:val="20"/>
              </w:rPr>
              <w:t>Transport</w:t>
            </w:r>
          </w:p>
        </w:tc>
      </w:tr>
      <w:tr>
        <w:trPr>
          <w:trHeight w:val="32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DELWP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Department of Environment, Land, Water and</w:t>
            </w:r>
            <w:r>
              <w:rPr>
                <w:rFonts w:ascii="Calibri"/>
                <w:spacing w:val="-22"/>
                <w:sz w:val="20"/>
              </w:rPr>
              <w:t> </w:t>
            </w:r>
            <w:r>
              <w:rPr>
                <w:rFonts w:ascii="Calibri"/>
                <w:sz w:val="20"/>
              </w:rPr>
              <w:t>Planning</w:t>
            </w:r>
          </w:p>
        </w:tc>
      </w:tr>
      <w:tr>
        <w:trPr>
          <w:trHeight w:val="326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DEPI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Former Department of Environment and Primary</w:t>
            </w:r>
            <w:r>
              <w:rPr>
                <w:rFonts w:ascii="Calibri"/>
                <w:spacing w:val="-25"/>
                <w:sz w:val="20"/>
              </w:rPr>
              <w:t> </w:t>
            </w:r>
            <w:r>
              <w:rPr>
                <w:rFonts w:ascii="Calibri"/>
                <w:sz w:val="20"/>
              </w:rPr>
              <w:t>Industries</w:t>
            </w:r>
          </w:p>
        </w:tc>
      </w:tr>
      <w:tr>
        <w:trPr>
          <w:trHeight w:val="32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EMC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Emergency Management</w:t>
            </w:r>
            <w:r>
              <w:rPr>
                <w:rFonts w:ascii="Calibri"/>
                <w:spacing w:val="-16"/>
                <w:sz w:val="20"/>
              </w:rPr>
              <w:t> </w:t>
            </w:r>
            <w:r>
              <w:rPr>
                <w:rFonts w:ascii="Calibri"/>
                <w:sz w:val="20"/>
              </w:rPr>
              <w:t>Commissioner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EMV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Emergency Management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Victoria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EPA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9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Environment Protection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Authority</w:t>
            </w:r>
          </w:p>
        </w:tc>
      </w:tr>
      <w:tr>
        <w:trPr>
          <w:trHeight w:val="32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FOP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Fire Operations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Plan</w:t>
            </w:r>
          </w:p>
        </w:tc>
      </w:tr>
      <w:tr>
        <w:trPr>
          <w:trHeight w:val="326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Forests</w:t>
            </w:r>
            <w:r>
              <w:rPr>
                <w:rFonts w:ascii="Calibri"/>
                <w:color w:val="FFFFFF"/>
                <w:spacing w:val="-12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Forests Act 1958</w:t>
            </w:r>
            <w:r>
              <w:rPr>
                <w:rFonts w:ascii="Calibri"/>
                <w:i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(Vic)</w:t>
            </w:r>
          </w:p>
        </w:tc>
      </w:tr>
      <w:tr>
        <w:trPr>
          <w:trHeight w:val="32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M(AA)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Mines (Aluminium Agreement) Act 1961</w:t>
            </w:r>
            <w:r>
              <w:rPr>
                <w:rFonts w:ascii="Calibri"/>
                <w:i/>
                <w:spacing w:val="-18"/>
                <w:sz w:val="20"/>
              </w:rPr>
              <w:t> </w:t>
            </w:r>
            <w:r>
              <w:rPr>
                <w:rFonts w:ascii="Calibri"/>
                <w:sz w:val="20"/>
              </w:rPr>
              <w:t>(Vic)</w:t>
            </w:r>
          </w:p>
        </w:tc>
      </w:tr>
      <w:tr>
        <w:trPr>
          <w:trHeight w:val="325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9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National Parks</w:t>
            </w:r>
            <w:r>
              <w:rPr>
                <w:rFonts w:ascii="Calibri"/>
                <w:color w:val="FFFFFF"/>
                <w:spacing w:val="-8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Act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9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National Parks Act 1975</w:t>
            </w:r>
            <w:r>
              <w:rPr>
                <w:rFonts w:ascii="Calibri"/>
                <w:i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(Vic)</w:t>
            </w:r>
          </w:p>
        </w:tc>
      </w:tr>
      <w:tr>
        <w:trPr>
          <w:trHeight w:val="326" w:hRule="exact"/>
        </w:trPr>
        <w:tc>
          <w:tcPr>
            <w:tcW w:w="2372" w:type="dxa"/>
            <w:tcBorders>
              <w:top w:val="nil" w:sz="9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NRE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9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Former Department of Natural Resources and</w:t>
            </w:r>
            <w:r>
              <w:rPr>
                <w:rFonts w:ascii="Calibri"/>
                <w:spacing w:val="-22"/>
                <w:sz w:val="20"/>
              </w:rPr>
              <w:t> </w:t>
            </w:r>
            <w:r>
              <w:rPr>
                <w:rFonts w:ascii="Calibri"/>
                <w:sz w:val="20"/>
              </w:rPr>
              <w:t>Environment</w:t>
            </w:r>
          </w:p>
        </w:tc>
      </w:tr>
      <w:tr>
        <w:trPr>
          <w:trHeight w:val="32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8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TOR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8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Terms of Reference for the Hazelwood Coal Mine Fire</w:t>
            </w:r>
            <w:r>
              <w:rPr>
                <w:rFonts w:ascii="Calibri"/>
                <w:spacing w:val="-23"/>
                <w:sz w:val="20"/>
              </w:rPr>
              <w:t> </w:t>
            </w:r>
            <w:r>
              <w:rPr>
                <w:rFonts w:ascii="Calibri"/>
                <w:sz w:val="20"/>
              </w:rPr>
              <w:t>Inquiry</w:t>
            </w:r>
          </w:p>
        </w:tc>
      </w:tr>
      <w:tr>
        <w:trPr>
          <w:trHeight w:val="314" w:hRule="exact"/>
        </w:trPr>
        <w:tc>
          <w:tcPr>
            <w:tcW w:w="2372" w:type="dxa"/>
            <w:tcBorders>
              <w:top w:val="nil" w:sz="8" w:space="0" w:color="auto"/>
              <w:left w:val="nil" w:sz="6" w:space="0" w:color="auto"/>
              <w:bottom w:val="nil" w:sz="6" w:space="0" w:color="auto"/>
              <w:right w:val="nil" w:sz="8" w:space="0" w:color="auto"/>
            </w:tcBorders>
            <w:shd w:val="clear" w:color="auto" w:fill="1664A0"/>
          </w:tcPr>
          <w:p>
            <w:pPr>
              <w:pStyle w:val="TableParagraph"/>
              <w:spacing w:line="240" w:lineRule="auto" w:before="40"/>
              <w:ind w:left="4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>VWA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085" w:type="dxa"/>
            <w:tcBorders>
              <w:top w:val="nil" w:sz="8" w:space="0" w:color="auto"/>
              <w:left w:val="nil" w:sz="8" w:space="0" w:color="auto"/>
              <w:bottom w:val="nil" w:sz="6" w:space="0" w:color="auto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40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Victorian WorkCover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z w:val="20"/>
              </w:rPr>
              <w:t>Authority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0" w:footer="1125" w:top="1500" w:bottom="1380" w:left="1260" w:right="1120"/>
        </w:sectPr>
      </w:pPr>
    </w:p>
    <w:p>
      <w:pPr>
        <w:pStyle w:val="Heading1"/>
        <w:numPr>
          <w:ilvl w:val="0"/>
          <w:numId w:val="2"/>
        </w:numPr>
        <w:tabs>
          <w:tab w:pos="946" w:val="left" w:leader="none"/>
        </w:tabs>
        <w:spacing w:line="240" w:lineRule="auto" w:before="2" w:after="0"/>
        <w:ind w:left="946" w:right="414" w:hanging="795"/>
        <w:jc w:val="left"/>
      </w:pPr>
      <w:bookmarkStart w:name="_TOC_250015" w:id="2"/>
      <w:r>
        <w:rPr>
          <w:color w:val="1664A0"/>
        </w:rPr>
        <w:t>Introduction</w:t>
      </w:r>
      <w:bookmarkEnd w:id="2"/>
      <w:r>
        <w:rPr/>
      </w:r>
    </w:p>
    <w:p>
      <w:pPr>
        <w:pStyle w:val="Heading2"/>
        <w:spacing w:line="240" w:lineRule="auto" w:before="242"/>
        <w:ind w:right="414"/>
        <w:jc w:val="left"/>
        <w:rPr>
          <w:b w:val="0"/>
          <w:bCs w:val="0"/>
        </w:rPr>
      </w:pPr>
      <w:bookmarkStart w:name="_TOC_250014" w:id="3"/>
      <w:r>
        <w:rPr>
          <w:color w:val="1664A0"/>
        </w:rPr>
        <w:t>Hazelwood Coal Mine Fire Inquiry</w:t>
      </w:r>
      <w:r>
        <w:rPr>
          <w:color w:val="1664A0"/>
          <w:spacing w:val="-20"/>
        </w:rPr>
        <w:t> </w:t>
      </w:r>
      <w:r>
        <w:rPr>
          <w:color w:val="1664A0"/>
        </w:rPr>
        <w:t>2014</w:t>
      </w:r>
      <w:bookmarkEnd w:id="3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6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February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2014,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burned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Hazelwood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Mine.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required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significant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resources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bring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control,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impacted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local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communities,</w:t>
      </w:r>
      <w:r>
        <w:rPr>
          <w:rFonts w:ascii="Calibri"/>
          <w:spacing w:val="-1"/>
          <w:w w:val="100"/>
          <w:sz w:val="22"/>
        </w:rPr>
        <w:t> </w:t>
      </w:r>
      <w:r>
        <w:rPr>
          <w:rFonts w:ascii="Calibri"/>
          <w:sz w:val="22"/>
        </w:rPr>
        <w:t>particularly in the town of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Morwell.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9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An independent inquiry into the circumstances of the Hazelwood Coal Mine Fire was held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2014. The Board of Inquiry conducted a thorough investigation into the Hazelwood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Mine Fire, which included community consultations, public submissions and 14 days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public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hearings.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414" w:hanging="7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2014 Inquiry Report was tabled in the Victorian Parliament on 2 September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z w:val="22"/>
        </w:rPr>
        <w:t>2014.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30" w:lineRule="auto" w:before="128" w:after="0"/>
        <w:ind w:left="946" w:right="148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22"/>
        </w:rPr>
        <w:t>The Victorian Government has committed to implementing the 2014 Inquiry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Report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Recommendations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Affirmations,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$30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million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announced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2015/16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Victorian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Budget to fulfil this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commitment.</w:t>
      </w:r>
      <w:r>
        <w:rPr>
          <w:rFonts w:ascii="Calibri"/>
          <w:position w:val="10"/>
          <w:sz w:val="14"/>
        </w:rPr>
        <w:t>1</w:t>
      </w:r>
      <w:r>
        <w:rPr>
          <w:rFonts w:ascii="Calibri"/>
          <w:sz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2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Hazelwood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Inquiry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Implementation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Monitor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been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appointed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monitor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report on the implementation of the 2014 Inquiry Report by the Victorian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Government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the Hazelwood Coal Mine operator, GDF Suez, annually for three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years.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414"/>
        <w:jc w:val="left"/>
        <w:rPr>
          <w:b w:val="0"/>
          <w:bCs w:val="0"/>
        </w:rPr>
      </w:pPr>
      <w:bookmarkStart w:name="_TOC_250013" w:id="4"/>
      <w:r>
        <w:rPr>
          <w:color w:val="1664A0"/>
        </w:rPr>
        <w:t>Reopened Hazelwood Coal Mine Fire</w:t>
      </w:r>
      <w:r>
        <w:rPr>
          <w:color w:val="1664A0"/>
          <w:spacing w:val="-18"/>
        </w:rPr>
        <w:t> </w:t>
      </w:r>
      <w:r>
        <w:rPr>
          <w:color w:val="1664A0"/>
        </w:rPr>
        <w:t>Inquiry</w:t>
      </w:r>
      <w:bookmarkEnd w:id="4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6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On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26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May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2015,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Honourable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Lil</w:t>
      </w:r>
      <w:r>
        <w:rPr>
          <w:rFonts w:ascii="Calibri" w:hAnsi="Calibri" w:cs="Calibri" w:eastAsia="Calibri"/>
          <w:sz w:val="22"/>
          <w:szCs w:val="22"/>
        </w:rPr>
        <w:t>y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D’Ambrosio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MP,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Minister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Energy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Resources</w:t>
      </w:r>
      <w:r>
        <w:rPr>
          <w:rFonts w:ascii="Calibri" w:hAnsi="Calibri" w:cs="Calibri" w:eastAsia="Calibri"/>
          <w:sz w:val="22"/>
          <w:szCs w:val="22"/>
        </w:rPr>
        <w:t>,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 The Honourable Jill Hennessy MP, Minister for Health, announced the reopening of</w:t>
      </w:r>
      <w:r>
        <w:rPr>
          <w:rFonts w:ascii="Calibri" w:hAnsi="Calibri" w:cs="Calibri" w:eastAsia="Calibri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the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Hazelwood Mine Fire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Inquiry.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26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2015,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Governor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Council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established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Hazelwood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Board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of Inquiry, chaired by the Honourable Bernard Teague AO, with Professor John Catford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Mrs Anita Roper as Board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Members.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Board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Inquiry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inquire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into,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report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on,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concerns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respect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increase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deaths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following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Hazelwood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Fire,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options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rehabilitation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Latrobe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Valley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mines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options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minimise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2015/16 summer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season.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414"/>
        <w:jc w:val="left"/>
        <w:rPr>
          <w:b w:val="0"/>
          <w:bCs w:val="0"/>
        </w:rPr>
      </w:pPr>
      <w:bookmarkStart w:name="_TOC_250012" w:id="5"/>
      <w:r>
        <w:rPr>
          <w:color w:val="1664A0"/>
        </w:rPr>
        <w:t>Victorian Government Submission </w:t>
      </w:r>
      <w:r>
        <w:rPr>
          <w:rFonts w:ascii="Calibri" w:hAnsi="Calibri" w:cs="Calibri" w:eastAsia="Calibri"/>
          <w:color w:val="1664A0"/>
        </w:rPr>
        <w:t>– </w:t>
      </w:r>
      <w:r>
        <w:rPr>
          <w:color w:val="1664A0"/>
        </w:rPr>
        <w:t>Anglesea Coal</w:t>
      </w:r>
      <w:r>
        <w:rPr>
          <w:color w:val="1664A0"/>
          <w:spacing w:val="-18"/>
        </w:rPr>
        <w:t> </w:t>
      </w:r>
      <w:r>
        <w:rPr>
          <w:color w:val="1664A0"/>
        </w:rPr>
        <w:t>Mine</w:t>
      </w:r>
      <w:bookmarkEnd w:id="5"/>
      <w:r>
        <w:rPr>
          <w:b w:val="0"/>
          <w:bCs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9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Victorian Government welcomes the opportunity to assist the Board of Inquiry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inquire into, and report on, options for Alcoa to minimise the risk of fire at the Anglesea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2015/16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summer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season.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Submission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been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prepared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behalf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all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departments and relevant agencies of the Victorian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Government.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Victorian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Government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intends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make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further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submissions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Board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Inquiry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respect of the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TOR.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18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This Submission responds to relevant matters for inquiry set out in the Order in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Council,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Term of Reference 11, which appointed the Inquiry in respect of the Anglesea Coal Mine,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inquire into and report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spacing w:line="20" w:lineRule="exact"/>
        <w:ind w:left="93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2003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spacing w:before="74"/>
        <w:ind w:left="946" w:right="41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10"/>
          <w:sz w:val="13"/>
          <w:szCs w:val="13"/>
        </w:rPr>
        <w:t>1 </w:t>
      </w:r>
      <w:r>
        <w:rPr>
          <w:rFonts w:ascii="Calibri" w:hAnsi="Calibri" w:cs="Calibri" w:eastAsia="Calibri"/>
          <w:sz w:val="20"/>
          <w:szCs w:val="20"/>
        </w:rPr>
        <w:t>Victorian Budget 15 </w:t>
      </w:r>
      <w:r>
        <w:rPr>
          <w:rFonts w:ascii="Calibri" w:hAnsi="Calibri" w:cs="Calibri" w:eastAsia="Calibri"/>
          <w:sz w:val="20"/>
          <w:szCs w:val="20"/>
        </w:rPr>
        <w:t>– </w:t>
      </w:r>
      <w:r>
        <w:rPr>
          <w:rFonts w:ascii="Calibri" w:hAnsi="Calibri" w:cs="Calibri" w:eastAsia="Calibri"/>
          <w:sz w:val="20"/>
          <w:szCs w:val="20"/>
        </w:rPr>
        <w:t>16, Service Delivery Budget Paper No. 3, pages 12 to</w:t>
      </w:r>
      <w:r>
        <w:rPr>
          <w:rFonts w:ascii="Calibri" w:hAnsi="Calibri" w:cs="Calibri" w:eastAsia="Calibri"/>
          <w:spacing w:val="-1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15.</w:t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0" w:footer="1125" w:top="1560" w:bottom="1380" w:left="1260" w:right="1260"/>
        </w:sectPr>
      </w:pPr>
    </w:p>
    <w:p>
      <w:pPr>
        <w:pStyle w:val="BodyText"/>
        <w:spacing w:line="232" w:lineRule="auto" w:before="46"/>
        <w:ind w:left="1284" w:right="148" w:firstLine="0"/>
        <w:jc w:val="both"/>
        <w:rPr>
          <w:sz w:val="14"/>
          <w:szCs w:val="14"/>
        </w:rPr>
      </w:pPr>
      <w:r>
        <w:rPr>
          <w:rFonts w:ascii="Calibri" w:hAnsi="Calibri" w:cs="Calibri" w:eastAsia="Calibri"/>
        </w:rPr>
        <w:t>‘</w:t>
      </w:r>
      <w:r>
        <w:rPr/>
        <w:t>Sustainable, practical and effective options that could be undertaken by the</w:t>
      </w:r>
      <w:r>
        <w:rPr>
          <w:spacing w:val="4"/>
        </w:rPr>
        <w:t> </w:t>
      </w:r>
      <w:r>
        <w:rPr/>
        <w:t>mine</w:t>
      </w:r>
      <w:r>
        <w:rPr>
          <w:w w:val="100"/>
        </w:rPr>
        <w:t> </w:t>
      </w:r>
      <w:r>
        <w:rPr/>
        <w:t>operator to decrease the risk of fire arising from or impacting the Anglesea Mine for</w:t>
      </w:r>
      <w:r>
        <w:rPr>
          <w:spacing w:val="19"/>
        </w:rPr>
        <w:t> </w:t>
      </w:r>
      <w:r>
        <w:rPr/>
        <w:t>the</w:t>
      </w:r>
      <w:r>
        <w:rPr>
          <w:w w:val="100"/>
        </w:rPr>
        <w:t> </w:t>
      </w:r>
      <w:r>
        <w:rPr/>
        <w:t>2015/2016</w:t>
      </w:r>
      <w:r>
        <w:rPr>
          <w:spacing w:val="37"/>
        </w:rPr>
        <w:t> </w:t>
      </w:r>
      <w:r>
        <w:rPr/>
        <w:t>summer</w:t>
      </w:r>
      <w:r>
        <w:rPr>
          <w:spacing w:val="37"/>
        </w:rPr>
        <w:t> </w:t>
      </w:r>
      <w:r>
        <w:rPr/>
        <w:t>season,</w:t>
      </w:r>
      <w:r>
        <w:rPr>
          <w:spacing w:val="37"/>
        </w:rPr>
        <w:t> </w:t>
      </w:r>
      <w:r>
        <w:rPr/>
        <w:t>noting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impending</w:t>
      </w:r>
      <w:r>
        <w:rPr>
          <w:spacing w:val="36"/>
        </w:rPr>
        <w:t> </w:t>
      </w:r>
      <w:r>
        <w:rPr/>
        <w:t>closure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mine</w:t>
      </w:r>
      <w:r>
        <w:rPr>
          <w:spacing w:val="37"/>
        </w:rPr>
        <w:t> </w:t>
      </w:r>
      <w:r>
        <w:rPr/>
        <w:t>on</w:t>
      </w:r>
      <w:r>
        <w:rPr>
          <w:spacing w:val="36"/>
        </w:rPr>
        <w:t> </w:t>
      </w:r>
      <w:r>
        <w:rPr/>
        <w:t>31</w:t>
      </w:r>
      <w:r>
        <w:rPr>
          <w:spacing w:val="35"/>
        </w:rPr>
        <w:t> </w:t>
      </w:r>
      <w:r>
        <w:rPr/>
        <w:t>August</w:t>
      </w:r>
      <w:r>
        <w:rPr>
          <w:spacing w:val="-1"/>
          <w:w w:val="100"/>
        </w:rPr>
        <w:t> </w:t>
      </w:r>
      <w:r>
        <w:rPr/>
        <w:t>2015.</w:t>
      </w:r>
      <w:r>
        <w:rPr>
          <w:rFonts w:ascii="Calibri" w:hAnsi="Calibri" w:cs="Calibri" w:eastAsia="Calibri"/>
        </w:rPr>
        <w:t>’</w:t>
      </w:r>
      <w:r>
        <w:rPr>
          <w:position w:val="10"/>
          <w:sz w:val="14"/>
          <w:szCs w:val="14"/>
        </w:rPr>
        <w:t>2</w:t>
      </w:r>
      <w:r>
        <w:rPr>
          <w:sz w:val="14"/>
          <w:szCs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2" w:after="0"/>
        <w:ind w:left="946" w:right="414" w:hanging="7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This Submission sets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out:</w:t>
      </w:r>
    </w:p>
    <w:p>
      <w:pPr>
        <w:pStyle w:val="BodyText"/>
        <w:spacing w:line="266" w:lineRule="exact" w:before="129"/>
        <w:ind w:left="1570" w:right="153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/>
        <w:t>a</w:t>
      </w:r>
      <w:r>
        <w:rPr>
          <w:spacing w:val="22"/>
        </w:rPr>
        <w:t> </w:t>
      </w:r>
      <w:r>
        <w:rPr/>
        <w:t>high</w:t>
      </w:r>
      <w:r>
        <w:rPr>
          <w:spacing w:val="21"/>
        </w:rPr>
        <w:t> </w:t>
      </w:r>
      <w:r>
        <w:rPr/>
        <w:t>level</w:t>
      </w:r>
      <w:r>
        <w:rPr>
          <w:spacing w:val="22"/>
        </w:rPr>
        <w:t> </w:t>
      </w:r>
      <w:r>
        <w:rPr/>
        <w:t>overview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</w:rPr>
        <w:t>Victorian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Government’s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response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</w:rPr>
        <w:t>closure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w w:val="100"/>
        </w:rPr>
        <w:t> </w:t>
      </w:r>
      <w:r>
        <w:rPr/>
        <w:t>Anglesea Coal Mine and Anglesea Power Station on 31 August</w:t>
      </w:r>
      <w:r>
        <w:rPr>
          <w:spacing w:val="-21"/>
        </w:rPr>
        <w:t> </w:t>
      </w:r>
      <w:r>
        <w:rPr/>
        <w:t>2015</w:t>
      </w:r>
    </w:p>
    <w:p>
      <w:pPr>
        <w:pStyle w:val="BodyText"/>
        <w:spacing w:line="240" w:lineRule="auto" w:before="127"/>
        <w:ind w:left="1570" w:right="149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the arrangements for management of the Heath, focusing on the management of</w:t>
      </w:r>
      <w:r>
        <w:rPr>
          <w:spacing w:val="21"/>
        </w:rPr>
        <w:t> </w:t>
      </w:r>
      <w:r>
        <w:rPr/>
        <w:t>the</w:t>
      </w:r>
      <w:r>
        <w:rPr>
          <w:w w:val="100"/>
        </w:rPr>
        <w:t> </w:t>
      </w:r>
      <w:r>
        <w:rPr/>
        <w:t>risk of</w:t>
      </w:r>
      <w:r>
        <w:rPr>
          <w:spacing w:val="-4"/>
        </w:rPr>
        <w:t> </w:t>
      </w:r>
      <w:r>
        <w:rPr/>
        <w:t>bushfires</w:t>
      </w:r>
    </w:p>
    <w:p>
      <w:pPr>
        <w:pStyle w:val="BodyText"/>
        <w:spacing w:line="240" w:lineRule="auto" w:before="121"/>
        <w:ind w:left="1570" w:right="149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the management  of the Great Otway  National Park, to  address the risk of   </w:t>
      </w:r>
      <w:r>
        <w:rPr>
          <w:spacing w:val="19"/>
        </w:rPr>
        <w:t> </w:t>
      </w:r>
      <w:r>
        <w:rPr/>
        <w:t>bushfire</w:t>
      </w:r>
      <w:r>
        <w:rPr>
          <w:w w:val="100"/>
        </w:rPr>
        <w:t> </w:t>
      </w:r>
      <w:r>
        <w:rPr/>
        <w:t>and</w:t>
      </w:r>
      <w:r>
        <w:rPr>
          <w:spacing w:val="22"/>
        </w:rPr>
        <w:t> </w:t>
      </w:r>
      <w:r>
        <w:rPr/>
        <w:t>protect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community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Anglesea,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greater</w:t>
      </w:r>
      <w:r>
        <w:rPr>
          <w:spacing w:val="23"/>
        </w:rPr>
        <w:t> </w:t>
      </w:r>
      <w:r>
        <w:rPr/>
        <w:t>region,</w:t>
      </w:r>
      <w:r>
        <w:rPr>
          <w:spacing w:val="23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negative</w:t>
      </w:r>
      <w:r>
        <w:rPr>
          <w:w w:val="100"/>
        </w:rPr>
        <w:t> </w:t>
      </w:r>
      <w:r>
        <w:rPr/>
        <w:t>impacts of</w:t>
      </w:r>
      <w:r>
        <w:rPr>
          <w:spacing w:val="-4"/>
        </w:rPr>
        <w:t> </w:t>
      </w:r>
      <w:r>
        <w:rPr/>
        <w:t>bushfires</w:t>
      </w:r>
    </w:p>
    <w:p>
      <w:pPr>
        <w:pStyle w:val="BodyText"/>
        <w:spacing w:line="240" w:lineRule="auto" w:before="121"/>
        <w:ind w:left="1570" w:right="147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a  broad  context  of  fire  risk  management   in  the  Barwon  South  West      </w:t>
      </w:r>
      <w:r>
        <w:rPr>
          <w:spacing w:val="43"/>
        </w:rPr>
        <w:t> </w:t>
      </w:r>
      <w:r>
        <w:rPr/>
        <w:t>Region,</w:t>
      </w:r>
      <w:r>
        <w:rPr>
          <w:w w:val="100"/>
        </w:rPr>
        <w:t> </w:t>
      </w:r>
      <w:r>
        <w:rPr/>
        <w:t>demonstrating the prevention, preparedness, response and recovery</w:t>
      </w:r>
      <w:r>
        <w:rPr>
          <w:spacing w:val="-23"/>
        </w:rPr>
        <w:t> </w:t>
      </w:r>
      <w:r>
        <w:rPr/>
        <w:t>roles.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exact"/>
        <w:ind w:left="93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2003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spacing w:before="74"/>
        <w:ind w:left="946" w:right="52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10"/>
          <w:sz w:val="13"/>
        </w:rPr>
        <w:t>2 </w:t>
      </w:r>
      <w:r>
        <w:rPr>
          <w:rFonts w:ascii="Calibri"/>
          <w:sz w:val="18"/>
        </w:rPr>
        <w:t>Order In Council Appointment of the a Board of Inquiry into the Hazelwood Coal Mine Fire dated 26 May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2015.</w:t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spacing w:line="20" w:lineRule="exac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58pt;height:1pt;mso-position-horizontal-relative:char;mso-position-vertical-relative:line" coordorigin="0,0" coordsize="9160,20">
            <v:group style="position:absolute;left:10;top:10;width:9141;height:2" coordorigin="10,10" coordsize="9141,2">
              <v:shape style="position:absolute;left:10;top:10;width:9141;height:2" coordorigin="10,10" coordsize="9141,0" path="m10,10l9150,10e" filled="false" stroked="true" strokeweight=".96002pt" strokecolor="#4194d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exact"/>
        <w:rPr>
          <w:rFonts w:ascii="Calibri" w:hAnsi="Calibri" w:cs="Calibri" w:eastAsia="Calibri"/>
          <w:sz w:val="2"/>
          <w:szCs w:val="2"/>
        </w:rPr>
        <w:sectPr>
          <w:pgSz w:w="11910" w:h="16840"/>
          <w:pgMar w:header="0" w:footer="1125" w:top="1520" w:bottom="1320" w:left="1260" w:right="1260"/>
        </w:sectPr>
      </w:pPr>
    </w:p>
    <w:p>
      <w:pPr>
        <w:pStyle w:val="Heading1"/>
        <w:numPr>
          <w:ilvl w:val="0"/>
          <w:numId w:val="2"/>
        </w:numPr>
        <w:tabs>
          <w:tab w:pos="946" w:val="left" w:leader="none"/>
        </w:tabs>
        <w:spacing w:line="240" w:lineRule="auto" w:before="2" w:after="0"/>
        <w:ind w:left="946" w:right="414" w:hanging="795"/>
        <w:jc w:val="left"/>
      </w:pPr>
      <w:bookmarkStart w:name="_TOC_250011" w:id="6"/>
      <w:r>
        <w:rPr>
          <w:color w:val="1664A0"/>
        </w:rPr>
        <w:t>Management of the Anglesea</w:t>
      </w:r>
      <w:r>
        <w:rPr>
          <w:color w:val="1664A0"/>
          <w:spacing w:val="-8"/>
        </w:rPr>
        <w:t> </w:t>
      </w:r>
      <w:r>
        <w:rPr>
          <w:color w:val="1664A0"/>
        </w:rPr>
        <w:t>Heath</w:t>
      </w:r>
      <w:bookmarkEnd w:id="6"/>
      <w:r>
        <w:rPr/>
      </w:r>
    </w:p>
    <w:p>
      <w:pPr>
        <w:pStyle w:val="Heading2"/>
        <w:spacing w:line="240" w:lineRule="auto" w:before="242"/>
        <w:ind w:right="414"/>
        <w:jc w:val="left"/>
        <w:rPr>
          <w:b w:val="0"/>
          <w:bCs w:val="0"/>
        </w:rPr>
      </w:pPr>
      <w:bookmarkStart w:name="_TOC_250010" w:id="7"/>
      <w:r>
        <w:rPr>
          <w:color w:val="1664A0"/>
        </w:rPr>
        <w:t>The Anglesea Coal</w:t>
      </w:r>
      <w:r>
        <w:rPr>
          <w:color w:val="1664A0"/>
          <w:spacing w:val="-6"/>
        </w:rPr>
        <w:t> </w:t>
      </w:r>
      <w:r>
        <w:rPr>
          <w:color w:val="1664A0"/>
        </w:rPr>
        <w:t>Mine</w:t>
      </w:r>
      <w:bookmarkEnd w:id="7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6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On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22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November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1961,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State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Victoria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entered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into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50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year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agreement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supporting the development of the Point Henry aluminium smelter and the operation of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power station and associated coal mine at Anglesea. In 2011, Alcoa exercised its right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extend the lease for a further 50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years.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50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Alcoa’s mine lease area covers 7,145 </w:t>
      </w:r>
      <w:r>
        <w:rPr>
          <w:rFonts w:ascii="Calibri" w:hAnsi="Calibri" w:cs="Calibri" w:eastAsia="Calibri"/>
          <w:sz w:val="22"/>
          <w:szCs w:val="22"/>
        </w:rPr>
        <w:t>hectares of land and includes the mine site, the</w:t>
      </w:r>
      <w:r>
        <w:rPr>
          <w:rFonts w:ascii="Calibri" w:hAnsi="Calibri" w:cs="Calibri" w:eastAsia="Calibri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power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station and approximately 6,495 hectares of the Heath. This is shown below at </w:t>
      </w:r>
      <w:r>
        <w:rPr>
          <w:rFonts w:ascii="Calibri" w:hAnsi="Calibri" w:cs="Calibri" w:eastAsia="Calibri"/>
          <w:b/>
          <w:bCs/>
          <w:sz w:val="22"/>
          <w:szCs w:val="22"/>
        </w:rPr>
        <w:t>Map</w:t>
      </w:r>
      <w:r>
        <w:rPr>
          <w:rFonts w:ascii="Calibri" w:hAnsi="Calibri" w:cs="Calibri" w:eastAsia="Calibri"/>
          <w:b/>
          <w:bCs/>
          <w:spacing w:val="-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1</w:t>
      </w:r>
      <w:r>
        <w:rPr>
          <w:rFonts w:ascii="Calibri" w:hAnsi="Calibri" w:cs="Calibri" w:eastAsia="Calibri"/>
          <w:sz w:val="22"/>
          <w:szCs w:val="22"/>
        </w:rPr>
        <w:t>.</w:t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spacing w:line="8524" w:lineRule="exact"/>
        <w:ind w:left="96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69"/>
          <w:sz w:val="20"/>
          <w:szCs w:val="20"/>
        </w:rPr>
        <w:pict>
          <v:group style="width:414.65pt;height:426.2pt;mso-position-horizontal-relative:char;mso-position-vertical-relative:line" coordorigin="0,0" coordsize="8293,8524">
            <v:shape style="position:absolute;left:10;top:10;width:8273;height:8504" type="#_x0000_t75" stroked="false">
              <v:imagedata r:id="rId13" o:title=""/>
            </v:shape>
            <v:group style="position:absolute;left:5;top:5;width:8283;height:8514" coordorigin="5,5" coordsize="8283,8514">
              <v:shape style="position:absolute;left:5;top:5;width:8283;height:8514" coordorigin="5,5" coordsize="8283,8514" path="m5,8519l8288,8519,8288,5,5,5,5,8519x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-169"/>
          <w:sz w:val="20"/>
          <w:szCs w:val="20"/>
        </w:rPr>
      </w:r>
    </w:p>
    <w:p>
      <w:pPr>
        <w:pStyle w:val="Heading3"/>
        <w:spacing w:line="240" w:lineRule="auto" w:before="125"/>
        <w:ind w:right="414"/>
        <w:jc w:val="left"/>
        <w:rPr>
          <w:b w:val="0"/>
          <w:bCs w:val="0"/>
        </w:rPr>
      </w:pPr>
      <w:r>
        <w:rPr/>
        <w:t>Map 1: Map of the Anglesea Coal Mine work plan and lease boundary area June</w:t>
      </w:r>
      <w:r>
        <w:rPr>
          <w:spacing w:val="-27"/>
        </w:rPr>
        <w:t> </w:t>
      </w:r>
      <w:r>
        <w:rPr/>
        <w:t>2015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On 12 May 2015, Alcoa announced that it would permanently close the Anglesea Coal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Anglesea Power Station on 31 August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2015.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Victorian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Government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coordinated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closure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Power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Station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through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Coordination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Committee,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which was established when Alcoa announced the closure. The Alcoa Anglesea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Coordination</w:t>
      </w:r>
    </w:p>
    <w:p>
      <w:pPr>
        <w:spacing w:after="0" w:line="240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5" w:top="1560" w:bottom="1320" w:left="1260" w:right="1260"/>
        </w:sectPr>
      </w:pPr>
    </w:p>
    <w:p>
      <w:pPr>
        <w:pStyle w:val="BodyText"/>
        <w:spacing w:line="240" w:lineRule="auto" w:before="40"/>
        <w:ind w:right="148" w:firstLine="0"/>
        <w:jc w:val="both"/>
      </w:pPr>
      <w:r>
        <w:rPr/>
        <w:t>Committee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chaired</w:t>
      </w:r>
      <w:r>
        <w:rPr>
          <w:spacing w:val="34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Deputy</w:t>
      </w:r>
      <w:r>
        <w:rPr>
          <w:spacing w:val="36"/>
        </w:rPr>
        <w:t> </w:t>
      </w:r>
      <w:r>
        <w:rPr/>
        <w:t>Secretary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Energy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Resources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DEDJTR,</w:t>
      </w:r>
      <w:r>
        <w:rPr>
          <w:spacing w:val="36"/>
        </w:rPr>
        <w:t> </w:t>
      </w:r>
      <w:r>
        <w:rPr/>
        <w:t>with</w:t>
      </w:r>
      <w:r>
        <w:rPr>
          <w:w w:val="100"/>
        </w:rPr>
        <w:t> </w:t>
      </w:r>
      <w:r>
        <w:rPr/>
        <w:t>membership from across Victorian Government agencies and departments that have a</w:t>
      </w:r>
      <w:r>
        <w:rPr>
          <w:spacing w:val="32"/>
        </w:rPr>
        <w:t> </w:t>
      </w:r>
      <w:r>
        <w:rPr/>
        <w:t>role</w:t>
      </w:r>
      <w:r>
        <w:rPr>
          <w:w w:val="100"/>
        </w:rPr>
        <w:t> </w:t>
      </w:r>
      <w:r>
        <w:rPr/>
        <w:t>in the closure or post closure</w:t>
      </w:r>
      <w:r>
        <w:rPr>
          <w:spacing w:val="-11"/>
        </w:rPr>
        <w:t> </w:t>
      </w:r>
      <w:r>
        <w:rPr/>
        <w:t>requirements.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Alcoa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Anglesea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Coordination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Committee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provides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single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contact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point</w:t>
      </w:r>
      <w:r>
        <w:rPr>
          <w:rFonts w:ascii="Calibri" w:hAnsi="Calibri" w:cs="Calibri" w:eastAsia="Calibri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assist</w:t>
      </w:r>
      <w:r>
        <w:rPr>
          <w:rFonts w:ascii="Calibri" w:hAnsi="Calibri" w:cs="Calibri" w:eastAsia="Calibri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Alcoa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 for the closure of the Anglesea Coal Mine and Anglesea Power Station and the</w:t>
      </w:r>
      <w:r>
        <w:rPr>
          <w:rFonts w:ascii="Calibri" w:hAnsi="Calibri" w:cs="Calibri" w:eastAsia="Calibri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Victorian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Government’s response</w:t>
      </w:r>
      <w:r>
        <w:rPr>
          <w:rFonts w:ascii="Calibri" w:hAnsi="Calibri" w:cs="Calibri" w:eastAsia="Calibri"/>
          <w:sz w:val="22"/>
          <w:szCs w:val="22"/>
        </w:rPr>
        <w:t>. Alcoa</w:t>
      </w:r>
      <w:r>
        <w:rPr>
          <w:rFonts w:ascii="Calibri" w:hAnsi="Calibri" w:cs="Calibri" w:eastAsia="Calibri"/>
          <w:sz w:val="22"/>
          <w:szCs w:val="22"/>
        </w:rPr>
        <w:t>’s </w:t>
      </w:r>
      <w:r>
        <w:rPr>
          <w:rFonts w:ascii="Calibri" w:hAnsi="Calibri" w:cs="Calibri" w:eastAsia="Calibri"/>
          <w:sz w:val="22"/>
          <w:szCs w:val="22"/>
        </w:rPr>
        <w:t>plans for the closure, rehabilitation of the site and all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other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regulatory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administrative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requirements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will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be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overseen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by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government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departments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 agencies. This includes DEDJTR, which regulates the rehabilitation of the Anglesea</w:t>
      </w:r>
      <w:r>
        <w:rPr>
          <w:rFonts w:ascii="Calibri" w:hAnsi="Calibri" w:cs="Calibri" w:eastAsia="Calibri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Coal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Mine, the EPA which regulates the decommissioning and rehabilitation of the</w:t>
      </w:r>
      <w:r>
        <w:rPr>
          <w:rFonts w:ascii="Calibri" w:hAnsi="Calibri" w:cs="Calibri" w:eastAsia="Calibri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Anglesea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Power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Station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any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ongoing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water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discharges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from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site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respect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environmental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issues,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DELWP</w:t>
      </w:r>
      <w:r>
        <w:rPr>
          <w:rFonts w:ascii="Calibri" w:hAnsi="Calibri" w:cs="Calibri" w:eastAsia="Calibri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regards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land,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fire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water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matters.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Through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assistance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Regional Development Victoria, the Victorian Government is committed to 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providing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support to workers during this difficult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time.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Alcoa has committed to working with the Victorian Government to develop and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implement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plans to rehabilitate the Anglesea Coal Mine and Anglesea Power Station. Alcoa will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provide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its proposed timeline for closure and post closure activities to the Alcoa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Coordination Committee in July 2015, for consideration and consultation with the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Victorian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Government.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rehabilitation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Power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Station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expected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take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number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years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complete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community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consulted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 closure and rehabilitation of the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site.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TOC_250009" w:id="8"/>
      <w:r>
        <w:rPr>
          <w:color w:val="1664A0"/>
        </w:rPr>
        <w:t>Coal Mine Emergency Management Taskforce - Surf</w:t>
      </w:r>
      <w:r>
        <w:rPr>
          <w:color w:val="1664A0"/>
          <w:spacing w:val="-16"/>
        </w:rPr>
        <w:t> </w:t>
      </w:r>
      <w:r>
        <w:rPr>
          <w:color w:val="1664A0"/>
        </w:rPr>
        <w:t>Coast</w:t>
      </w:r>
      <w:bookmarkEnd w:id="8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9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As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part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implementation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2014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Inquiry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Report,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Surf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Coast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Taskforce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established to examine fire preparedness for the 2014/15 and 2015/16 summer seasons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support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improved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capability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interoperability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between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coal mine industry, government agencies and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community.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18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Surf Coast Taskforce is chaired by the EMC. Its membership includes CFA, EMV,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DELWP,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DEDJTR, VWA, EPA, the Surf Coast Shire Council, Alcoa and others as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appropriate.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Surf Coast Taskforce commenced on 14 November 2014. It has held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four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meetings/workshops and encouraged Alcoa and the Latrobe Valley Mines to work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together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to learn from the lessons arising out of the Hazelwood Coal Mine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Fire.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9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With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announcement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closure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Power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Station,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Surf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Coast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Taskforce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focus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maintaining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safe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site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2015/16</w:t>
      </w:r>
      <w:r>
        <w:rPr>
          <w:rFonts w:ascii="Calibri"/>
          <w:spacing w:val="-2"/>
          <w:w w:val="100"/>
          <w:sz w:val="22"/>
        </w:rPr>
        <w:t> </w:t>
      </w:r>
      <w:r>
        <w:rPr>
          <w:rFonts w:ascii="Calibri"/>
          <w:sz w:val="22"/>
        </w:rPr>
        <w:t>summer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season.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TOC_250008" w:id="9"/>
      <w:r>
        <w:rPr>
          <w:color w:val="1664A0"/>
        </w:rPr>
        <w:t>Anglesea</w:t>
      </w:r>
      <w:r>
        <w:rPr>
          <w:color w:val="1664A0"/>
          <w:spacing w:val="-6"/>
        </w:rPr>
        <w:t> </w:t>
      </w:r>
      <w:r>
        <w:rPr>
          <w:color w:val="1664A0"/>
        </w:rPr>
        <w:t>Heath</w:t>
      </w:r>
      <w:bookmarkEnd w:id="9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6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The Heath lies to the north and west of the town of Anglesea </w:t>
      </w:r>
      <w:r>
        <w:rPr>
          <w:rFonts w:ascii="Calibri" w:hAnsi="Calibri" w:cs="Calibri" w:eastAsia="Calibri"/>
          <w:sz w:val="22"/>
          <w:szCs w:val="22"/>
        </w:rPr>
        <w:t>within DELWP’s Barwon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South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West Region and is adjacent to the Great Otway National Park. The Heath is represented</w:t>
      </w:r>
      <w:r>
        <w:rPr>
          <w:rFonts w:ascii="Calibri" w:hAnsi="Calibri" w:cs="Calibri" w:eastAsia="Calibri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Map 1 </w:t>
      </w:r>
      <w:r>
        <w:rPr>
          <w:rFonts w:ascii="Calibri" w:hAnsi="Calibri" w:cs="Calibri" w:eastAsia="Calibri"/>
          <w:sz w:val="22"/>
          <w:szCs w:val="22"/>
        </w:rPr>
        <w:t>as the land within the Lease Boundary, excluding the land within the work</w:t>
      </w:r>
      <w:r>
        <w:rPr>
          <w:rFonts w:ascii="Calibri" w:hAnsi="Calibri" w:cs="Calibri" w:eastAsia="Calibri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boundary.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1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Heath contains a high diversity of flora and fauna, including nine plant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species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considered rare or vulnerable in Victoria, and 16 plant species with disjunct populations.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w w:val="100"/>
          <w:sz w:val="22"/>
        </w:rPr>
        <w:t> </w:t>
      </w:r>
      <w:r>
        <w:rPr>
          <w:rFonts w:ascii="Calibri"/>
          <w:sz w:val="22"/>
        </w:rPr>
        <w:t>Heath was assessed by the Australian Heritage Commission in 1992 as having the richest</w:t>
      </w:r>
      <w:r>
        <w:rPr>
          <w:rFonts w:ascii="Calibri"/>
          <w:spacing w:val="-2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most diverse vegetation community recorded in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Victoria.</w:t>
      </w:r>
    </w:p>
    <w:p>
      <w:pPr>
        <w:spacing w:after="0" w:line="240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5" w:top="1520" w:bottom="1320" w:left="1260" w:right="1260"/>
        </w:sect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30" w:lineRule="auto" w:before="48" w:after="0"/>
        <w:ind w:left="946" w:right="150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Victorian Government has committed to incorporating the Heath into the Great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National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Park.</w:t>
      </w:r>
      <w:r>
        <w:rPr>
          <w:rFonts w:ascii="Calibri"/>
          <w:position w:val="10"/>
          <w:sz w:val="14"/>
        </w:rPr>
        <w:t>3</w:t>
      </w:r>
      <w:r>
        <w:rPr>
          <w:rFonts w:ascii="Calibri"/>
          <w:spacing w:val="30"/>
          <w:position w:val="10"/>
          <w:sz w:val="14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subject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discussions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require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legislative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amendments to the M(AA) Act and the National Parks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z w:val="22"/>
        </w:rPr>
        <w:t>Act.</w:t>
      </w: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414"/>
        <w:jc w:val="left"/>
        <w:rPr>
          <w:b w:val="0"/>
          <w:bCs w:val="0"/>
        </w:rPr>
      </w:pPr>
      <w:bookmarkStart w:name="_TOC_250007" w:id="10"/>
      <w:r>
        <w:rPr>
          <w:color w:val="1664A0"/>
        </w:rPr>
        <w:t>Management of the</w:t>
      </w:r>
      <w:r>
        <w:rPr>
          <w:color w:val="1664A0"/>
          <w:spacing w:val="-10"/>
        </w:rPr>
        <w:t> </w:t>
      </w:r>
      <w:r>
        <w:rPr>
          <w:color w:val="1664A0"/>
        </w:rPr>
        <w:t>Heath</w:t>
      </w:r>
      <w:bookmarkEnd w:id="10"/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18" w:lineRule="auto" w:before="0" w:after="0"/>
        <w:ind w:left="946" w:right="147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22"/>
        </w:rPr>
        <w:t>A Cooperative Land Management Agreement was signed on 8 November 2000 by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Secretary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former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NRE</w:t>
      </w:r>
      <w:r>
        <w:rPr>
          <w:rFonts w:ascii="Calibri"/>
          <w:position w:val="10"/>
          <w:sz w:val="14"/>
        </w:rPr>
        <w:t>4</w:t>
      </w:r>
      <w:r>
        <w:rPr>
          <w:rFonts w:ascii="Calibri"/>
          <w:spacing w:val="12"/>
          <w:position w:val="10"/>
          <w:sz w:val="14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Alcoa,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allow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Secretary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manage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Heath for conservation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purposes.</w:t>
      </w:r>
      <w:r>
        <w:rPr>
          <w:rFonts w:ascii="Calibri"/>
          <w:position w:val="10"/>
          <w:sz w:val="14"/>
        </w:rPr>
        <w:t>5</w:t>
      </w:r>
      <w:r>
        <w:rPr>
          <w:rFonts w:ascii="Calibri"/>
          <w:sz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8" w:lineRule="exact" w:before="120" w:after="0"/>
        <w:ind w:left="946" w:right="152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22"/>
        </w:rPr>
        <w:t>The Cooperative Land Management Agreement provides for the protection 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preservation of the natural environment, including indigenous flora and fauna, and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features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of scenic, archaeological, geological, historic or other scientific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interest.</w:t>
      </w:r>
      <w:r>
        <w:rPr>
          <w:rFonts w:ascii="Calibri"/>
          <w:position w:val="10"/>
          <w:sz w:val="14"/>
        </w:rPr>
        <w:t>6</w:t>
      </w:r>
      <w:r>
        <w:rPr>
          <w:rFonts w:ascii="Calibri"/>
          <w:sz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8" w:lineRule="exact" w:before="121" w:after="0"/>
        <w:ind w:left="946" w:right="148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Cooperative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Land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Agreement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entered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into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pursuant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s.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69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CFL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Act.</w:t>
      </w:r>
      <w:r>
        <w:rPr>
          <w:rFonts w:ascii="Calibri"/>
          <w:position w:val="10"/>
          <w:sz w:val="14"/>
        </w:rPr>
        <w:t>7</w:t>
      </w:r>
      <w:r>
        <w:rPr>
          <w:rFonts w:ascii="Calibri"/>
          <w:sz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02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Anglesea</w:t>
      </w:r>
      <w:r>
        <w:rPr>
          <w:rFonts w:ascii="Calibri" w:hAnsi="Calibri" w:cs="Calibri" w:eastAsia="Calibri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Heath</w:t>
      </w:r>
      <w:r>
        <w:rPr>
          <w:rFonts w:ascii="Calibri" w:hAnsi="Calibri" w:cs="Calibri" w:eastAsia="Calibri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Management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</w:t>
      </w:r>
      <w:r>
        <w:rPr>
          <w:rFonts w:ascii="Calibri" w:hAnsi="Calibri" w:cs="Calibri" w:eastAsia="Calibri"/>
          <w:position w:val="10"/>
          <w:sz w:val="14"/>
          <w:szCs w:val="14"/>
        </w:rPr>
        <w:t>8</w:t>
      </w:r>
      <w:r>
        <w:rPr>
          <w:rFonts w:ascii="Calibri" w:hAnsi="Calibri" w:cs="Calibri" w:eastAsia="Calibri"/>
          <w:spacing w:val="6"/>
          <w:position w:val="10"/>
          <w:sz w:val="14"/>
          <w:szCs w:val="14"/>
        </w:rPr>
        <w:t> </w:t>
      </w:r>
      <w:r>
        <w:rPr>
          <w:rFonts w:ascii="Calibri" w:hAnsi="Calibri" w:cs="Calibri" w:eastAsia="Calibri"/>
          <w:sz w:val="22"/>
          <w:szCs w:val="22"/>
        </w:rPr>
        <w:t>was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developed</w:t>
      </w:r>
      <w:r>
        <w:rPr>
          <w:rFonts w:ascii="Calibri" w:hAnsi="Calibri" w:cs="Calibri" w:eastAsia="Calibri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guide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strategic</w:t>
      </w:r>
      <w:r>
        <w:rPr>
          <w:rFonts w:ascii="Calibri" w:hAnsi="Calibri" w:cs="Calibri" w:eastAsia="Calibri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‘day</w:t>
      </w:r>
      <w:r>
        <w:rPr>
          <w:rFonts w:ascii="Calibri" w:hAnsi="Calibri" w:cs="Calibri" w:eastAsia="Calibri"/>
          <w:sz w:val="22"/>
          <w:szCs w:val="22"/>
        </w:rPr>
        <w:t>-to-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day’ </w:t>
      </w:r>
      <w:r>
        <w:rPr>
          <w:rFonts w:ascii="Calibri" w:hAnsi="Calibri" w:cs="Calibri" w:eastAsia="Calibri"/>
          <w:sz w:val="22"/>
          <w:szCs w:val="22"/>
        </w:rPr>
        <w:t>management of the Heath in accordance with the overarching conservation</w:t>
      </w:r>
      <w:r>
        <w:rPr>
          <w:rFonts w:ascii="Calibri" w:hAnsi="Calibri" w:cs="Calibri" w:eastAsia="Calibri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objectives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Cooperative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Land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Management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Agreement.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It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was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prepared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by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Secretary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former NRE, Parks Victoria and Alcoa, with input from stakeholders including </w:t>
      </w:r>
      <w:r>
        <w:rPr>
          <w:rFonts w:ascii="Calibri" w:hAnsi="Calibri" w:cs="Calibri" w:eastAsia="Calibri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Anglesea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Aireys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Inlet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Society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Protection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Flora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Fauna,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Geelong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Environment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Council,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Deakin University and the Surf Coast</w:t>
      </w:r>
      <w:r>
        <w:rPr>
          <w:rFonts w:ascii="Calibri" w:hAnsi="Calibri" w:cs="Calibri" w:eastAsia="Calibri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Shire.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primary focus of the management regime is to manage the Heath for its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various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conservation values in a manner that is consistent with the surrounding Great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National Park. This includes managing it for fire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risk.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348" w:lineRule="auto" w:before="120" w:after="0"/>
        <w:ind w:left="1145" w:right="1406" w:hanging="994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Anglesea Heath Management Plan contains seven key management</w:t>
      </w:r>
      <w:r>
        <w:rPr>
          <w:rFonts w:ascii="Calibri"/>
          <w:spacing w:val="-21"/>
          <w:sz w:val="22"/>
        </w:rPr>
        <w:t> </w:t>
      </w:r>
      <w:r>
        <w:rPr>
          <w:rFonts w:ascii="Calibri"/>
          <w:sz w:val="22"/>
        </w:rPr>
        <w:t>areas:</w:t>
      </w:r>
      <w:r>
        <w:rPr>
          <w:rFonts w:ascii="Calibri"/>
          <w:w w:val="100"/>
          <w:sz w:val="22"/>
        </w:rPr>
        <w:t> </w:t>
      </w:r>
      <w:r>
        <w:rPr>
          <w:rFonts w:ascii="Calibri"/>
          <w:w w:val="100"/>
          <w:position w:val="-4"/>
          <w:sz w:val="22"/>
        </w:rPr>
        <w:drawing>
          <wp:inline distT="0" distB="0" distL="0" distR="0">
            <wp:extent cx="128015" cy="172212"/>
            <wp:effectExtent l="0" t="0" r="0" b="0"/>
            <wp:docPr id="1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w w:val="100"/>
          <w:position w:val="-4"/>
          <w:sz w:val="22"/>
        </w:rPr>
      </w:r>
      <w:r>
        <w:rPr>
          <w:rFonts w:ascii="Times New Roman"/>
          <w:w w:val="100"/>
          <w:sz w:val="22"/>
        </w:rPr>
        <w:t>     </w:t>
      </w:r>
      <w:r>
        <w:rPr>
          <w:rFonts w:ascii="Calibri"/>
          <w:sz w:val="22"/>
        </w:rPr>
        <w:t>biodiversity conservation</w:t>
      </w:r>
    </w:p>
    <w:p>
      <w:pPr>
        <w:pStyle w:val="BodyText"/>
        <w:spacing w:line="340" w:lineRule="auto" w:before="0"/>
        <w:ind w:left="1145" w:right="5236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</w:t>
      </w:r>
      <w:r>
        <w:rPr/>
        <w:t>protection of natural values</w:t>
      </w:r>
      <w:r>
        <w:rPr>
          <w:spacing w:val="-5"/>
        </w:rPr>
        <w:t> </w:t>
      </w:r>
      <w:r>
        <w:rPr>
          <w:spacing w:val="-5"/>
        </w:rPr>
      </w:r>
      <w:r>
        <w:rPr>
          <w:w w:val="100"/>
          <w:position w:val="-4"/>
        </w:rPr>
        <w:drawing>
          <wp:inline distT="0" distB="0" distL="0" distR="0">
            <wp:extent cx="128015" cy="172212"/>
            <wp:effectExtent l="0" t="0" r="0" b="0"/>
            <wp:docPr id="1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rFonts w:ascii="Times New Roman"/>
          <w:w w:val="100"/>
        </w:rPr>
        <w:t>     </w:t>
      </w:r>
      <w:r>
        <w:rPr/>
        <w:t>impact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line="240" w:lineRule="auto" w:before="3"/>
        <w:ind w:left="1145" w:right="414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</w:t>
      </w:r>
      <w:r>
        <w:rPr/>
        <w:t>cultural resource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line="343" w:lineRule="auto" w:before="121"/>
        <w:ind w:left="1145" w:right="4417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</w:t>
      </w:r>
      <w:r>
        <w:rPr/>
        <w:t>recreation and tourism management</w:t>
      </w:r>
      <w:r>
        <w:rPr>
          <w:spacing w:val="-3"/>
        </w:rPr>
        <w:t> </w:t>
      </w:r>
      <w:r>
        <w:rPr>
          <w:spacing w:val="-3"/>
        </w:rPr>
      </w:r>
      <w:r>
        <w:rPr>
          <w:w w:val="100"/>
          <w:position w:val="-4"/>
        </w:rPr>
        <w:drawing>
          <wp:inline distT="0" distB="0" distL="0" distR="0">
            <wp:extent cx="128015" cy="172212"/>
            <wp:effectExtent l="0" t="0" r="0" b="0"/>
            <wp:docPr id="2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rFonts w:ascii="Times New Roman"/>
          <w:w w:val="100"/>
        </w:rPr>
        <w:t>     </w:t>
      </w:r>
      <w:r>
        <w:rPr/>
        <w:t>interpretation and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line="278" w:lineRule="exact" w:before="0"/>
        <w:ind w:left="1145" w:right="414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2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</w:t>
      </w:r>
      <w:r>
        <w:rPr/>
        <w:t>community participation and</w:t>
      </w:r>
      <w:r>
        <w:rPr>
          <w:spacing w:val="-9"/>
        </w:rPr>
        <w:t> </w:t>
      </w:r>
      <w:r>
        <w:rPr/>
        <w:t>involvement.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8" w:lineRule="exact" w:before="115" w:after="0"/>
        <w:ind w:left="946" w:right="147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22"/>
        </w:rPr>
        <w:t>Each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key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area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contains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sub-plans,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focus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specific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elements of the Heath and its recreational use. Sub-plan D.5.4 focuses on fire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management,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the actions associated with this key area are detailed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below.</w:t>
      </w:r>
      <w:r>
        <w:rPr>
          <w:rFonts w:ascii="Calibri"/>
          <w:position w:val="10"/>
          <w:sz w:val="14"/>
        </w:rPr>
        <w:t>9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p>
      <w:pPr>
        <w:spacing w:line="20" w:lineRule="exact"/>
        <w:ind w:left="93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2003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line="237" w:lineRule="exact" w:before="77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3 </w:t>
      </w:r>
      <w:r>
        <w:rPr>
          <w:rFonts w:ascii="Calibri"/>
          <w:i/>
          <w:sz w:val="18"/>
        </w:rPr>
        <w:t>Our Environment, Our Future</w:t>
      </w:r>
      <w:r>
        <w:rPr>
          <w:rFonts w:ascii="Calibri"/>
          <w:sz w:val="18"/>
        </w:rPr>
        <w:t>, Victorian Labour Party Election Commitments</w:t>
      </w:r>
      <w:r>
        <w:rPr>
          <w:rFonts w:ascii="Calibri"/>
          <w:spacing w:val="-16"/>
          <w:sz w:val="18"/>
        </w:rPr>
        <w:t> </w:t>
      </w:r>
      <w:r>
        <w:rPr>
          <w:rFonts w:ascii="Calibri"/>
          <w:sz w:val="18"/>
        </w:rPr>
        <w:t>2014.</w:t>
      </w:r>
    </w:p>
    <w:p>
      <w:pPr>
        <w:spacing w:line="243" w:lineRule="exact" w:before="0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10"/>
          <w:sz w:val="13"/>
        </w:rPr>
        <w:t>4 </w:t>
      </w:r>
      <w:r>
        <w:rPr>
          <w:rFonts w:ascii="Calibri"/>
          <w:sz w:val="18"/>
        </w:rPr>
        <w:t>Now the Secretary to DELWP, being the body corporate created by s.6 of the CFL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Act.</w:t>
      </w:r>
    </w:p>
    <w:p>
      <w:pPr>
        <w:spacing w:line="218" w:lineRule="exact" w:before="16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5 </w:t>
      </w:r>
      <w:r>
        <w:rPr>
          <w:rFonts w:ascii="Calibri"/>
          <w:sz w:val="18"/>
        </w:rPr>
        <w:t>Agreement between the Secretary of the Department of NRE and Alcoa of Australia Limited (2000), land</w:t>
      </w:r>
      <w:r>
        <w:rPr>
          <w:rFonts w:ascii="Calibri"/>
          <w:spacing w:val="-12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w w:val="99"/>
          <w:sz w:val="18"/>
        </w:rPr>
        <w:t> </w:t>
      </w:r>
      <w:r>
        <w:rPr>
          <w:rFonts w:ascii="Calibri"/>
          <w:sz w:val="18"/>
        </w:rPr>
        <w:t>conversation shown on the Plan in Schedule</w:t>
      </w:r>
      <w:r>
        <w:rPr>
          <w:rFonts w:ascii="Calibri"/>
          <w:spacing w:val="-13"/>
          <w:sz w:val="18"/>
        </w:rPr>
        <w:t> </w:t>
      </w:r>
      <w:r>
        <w:rPr>
          <w:rFonts w:ascii="Calibri"/>
          <w:sz w:val="18"/>
        </w:rPr>
        <w:t>B.</w:t>
      </w:r>
    </w:p>
    <w:p>
      <w:pPr>
        <w:spacing w:line="208" w:lineRule="exact" w:before="0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6 </w:t>
      </w:r>
      <w:r>
        <w:rPr>
          <w:rFonts w:ascii="Calibri"/>
          <w:sz w:val="18"/>
        </w:rPr>
        <w:t>Ibid, paragraph</w:t>
      </w:r>
      <w:r>
        <w:rPr>
          <w:rFonts w:ascii="Calibri"/>
          <w:spacing w:val="6"/>
          <w:sz w:val="18"/>
        </w:rPr>
        <w:t> </w:t>
      </w:r>
      <w:r>
        <w:rPr>
          <w:rFonts w:ascii="Calibri"/>
          <w:sz w:val="18"/>
        </w:rPr>
        <w:t>2.</w:t>
      </w:r>
    </w:p>
    <w:p>
      <w:pPr>
        <w:spacing w:line="235" w:lineRule="exact" w:before="0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7 </w:t>
      </w:r>
      <w:r>
        <w:rPr>
          <w:rFonts w:ascii="Calibri"/>
          <w:sz w:val="18"/>
        </w:rPr>
        <w:t>Alcoa are treated as the landowner of the Heath for the purpose of the Cooperative Land</w:t>
      </w:r>
      <w:r>
        <w:rPr>
          <w:rFonts w:ascii="Calibri"/>
          <w:spacing w:val="-15"/>
          <w:sz w:val="18"/>
        </w:rPr>
        <w:t> </w:t>
      </w:r>
      <w:r>
        <w:rPr>
          <w:rFonts w:ascii="Calibri"/>
          <w:sz w:val="18"/>
        </w:rPr>
        <w:t>Management</w:t>
      </w:r>
    </w:p>
    <w:p>
      <w:pPr>
        <w:spacing w:before="1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Agreement,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stemming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nature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leasehold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right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Alcoa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over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Heath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pursuant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M(AA)</w:t>
      </w:r>
      <w:r>
        <w:rPr>
          <w:rFonts w:ascii="Calibri"/>
          <w:w w:val="100"/>
          <w:sz w:val="18"/>
        </w:rPr>
        <w:t> </w:t>
      </w:r>
      <w:r>
        <w:rPr>
          <w:rFonts w:ascii="Calibri"/>
          <w:sz w:val="18"/>
        </w:rPr>
        <w:t>Act.</w:t>
      </w:r>
    </w:p>
    <w:p>
      <w:pPr>
        <w:spacing w:line="205" w:lineRule="exact" w:before="0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8</w:t>
      </w:r>
      <w:r>
        <w:rPr>
          <w:rFonts w:ascii="Calibri"/>
          <w:position w:val="9"/>
          <w:sz w:val="12"/>
        </w:rPr>
        <w:t>  </w:t>
      </w:r>
      <w:r>
        <w:rPr>
          <w:rFonts w:ascii="Calibri"/>
          <w:spacing w:val="4"/>
          <w:position w:val="9"/>
          <w:sz w:val="12"/>
        </w:rPr>
        <w:t> </w:t>
      </w:r>
      <w:hyperlink r:id="rId15">
        <w:r>
          <w:rPr>
            <w:rFonts w:ascii="Calibri"/>
            <w:spacing w:val="-1"/>
            <w:sz w:val="18"/>
          </w:rPr>
          <w:t>http://parkweb.vic.gov.au/__data/assets/pdf_file/0005/313277/plan-Anglesea-Heath.pdf.</w:t>
        </w:r>
        <w:r>
          <w:rPr>
            <w:rFonts w:ascii="Calibri"/>
            <w:sz w:val="18"/>
          </w:rPr>
        </w:r>
      </w:hyperlink>
    </w:p>
    <w:p>
      <w:pPr>
        <w:spacing w:line="237" w:lineRule="exact" w:before="0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9 </w:t>
      </w:r>
      <w:r>
        <w:rPr>
          <w:rFonts w:ascii="Calibri"/>
          <w:sz w:val="18"/>
        </w:rPr>
        <w:t>Anglesea Heath Management Plan November 2002, page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33.</w:t>
      </w:r>
    </w:p>
    <w:p>
      <w:pPr>
        <w:spacing w:after="0" w:line="237" w:lineRule="exact"/>
        <w:jc w:val="left"/>
        <w:rPr>
          <w:rFonts w:ascii="Calibri" w:hAnsi="Calibri" w:cs="Calibri" w:eastAsia="Calibri"/>
          <w:sz w:val="18"/>
          <w:szCs w:val="18"/>
        </w:rPr>
        <w:sectPr>
          <w:footerReference w:type="default" r:id="rId14"/>
          <w:pgSz w:w="11910" w:h="16840"/>
          <w:pgMar w:footer="1187" w:header="0" w:top="1520" w:bottom="1380" w:left="1260" w:right="1260"/>
        </w:sectPr>
      </w:pP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pStyle w:val="Heading3"/>
        <w:spacing w:line="348" w:lineRule="auto" w:before="56"/>
        <w:ind w:left="1145" w:right="1358"/>
        <w:jc w:val="left"/>
        <w:rPr>
          <w:b w:val="0"/>
          <w:bCs w:val="0"/>
        </w:rPr>
      </w:pPr>
      <w:r>
        <w:rPr/>
        <w:pict>
          <v:group style="position:absolute;margin-left:104.660004pt;margin-top:-3.786348pt;width:425.75pt;height:373.65pt;mso-position-horizontal-relative:page;mso-position-vertical-relative:paragraph;z-index:-36472" coordorigin="2093,-76" coordsize="8515,7473">
            <v:group style="position:absolute;left:2103;top:-66;width:8495;height:2" coordorigin="2103,-66" coordsize="8495,2">
              <v:shape style="position:absolute;left:2103;top:-66;width:8495;height:2" coordorigin="2103,-66" coordsize="8495,0" path="m2103,-66l10598,-66e" filled="false" stroked="true" strokeweight=".48pt" strokecolor="#000000">
                <v:path arrowok="t"/>
              </v:shape>
            </v:group>
            <v:group style="position:absolute;left:2098;top:-71;width:2;height:7463" coordorigin="2098,-71" coordsize="2,7463">
              <v:shape style="position:absolute;left:2098;top:-71;width:2;height:7463" coordorigin="2098,-71" coordsize="0,7463" path="m2098,-71l2098,7392e" filled="false" stroked="true" strokeweight=".48pt" strokecolor="#000000">
                <v:path arrowok="t"/>
              </v:shape>
            </v:group>
            <v:group style="position:absolute;left:2103;top:7387;width:8495;height:2" coordorigin="2103,7387" coordsize="8495,2">
              <v:shape style="position:absolute;left:2103;top:7387;width:8495;height:2" coordorigin="2103,7387" coordsize="8495,0" path="m2103,7387l10598,7387e" filled="false" stroked="true" strokeweight=".48001pt" strokecolor="#000000">
                <v:path arrowok="t"/>
              </v:shape>
            </v:group>
            <v:group style="position:absolute;left:10603;top:-71;width:2;height:7463" coordorigin="10603,-71" coordsize="2,7463">
              <v:shape style="position:absolute;left:10603;top:-71;width:2;height:7463" coordorigin="10603,-71" coordsize="0,7463" path="m10603,-71l10603,7392e" filled="false" stroked="true" strokeweight=".47998pt" strokecolor="#000000">
                <v:path arrowok="t"/>
              </v:shape>
            </v:group>
            <w10:wrap type="none"/>
          </v:group>
        </w:pict>
      </w:r>
      <w:r>
        <w:rPr/>
        <w:t>Anglesea Heath Management Plan, Sub-Plan, D.5.4 Fire</w:t>
      </w:r>
      <w:r>
        <w:rPr>
          <w:spacing w:val="-22"/>
        </w:rPr>
        <w:t> </w:t>
      </w:r>
      <w:r>
        <w:rPr/>
        <w:t>Management</w:t>
      </w:r>
      <w:r>
        <w:rPr>
          <w:w w:val="100"/>
        </w:rPr>
        <w:t> </w:t>
      </w:r>
      <w:r>
        <w:rPr>
          <w:rFonts w:ascii="Calibri" w:hAnsi="Calibri" w:cs="Calibri" w:eastAsia="Calibri"/>
        </w:rPr>
        <w:t>“</w:t>
      </w:r>
      <w:r>
        <w:rPr/>
        <w:t>Actions </w:t>
      </w:r>
      <w:r>
        <w:rPr>
          <w:rFonts w:ascii="Calibri" w:hAnsi="Calibri" w:cs="Calibri" w:eastAsia="Calibri"/>
        </w:rPr>
        <w:t>– </w:t>
      </w:r>
      <w:r>
        <w:rPr/>
        <w:t>Major actions to be undertaken for this key area are</w:t>
      </w:r>
      <w:r>
        <w:rPr>
          <w:spacing w:val="-17"/>
        </w:rPr>
        <w:t> </w:t>
      </w:r>
      <w:r>
        <w:rPr/>
        <w:t>to:</w:t>
      </w:r>
      <w:r>
        <w:rPr>
          <w:b w:val="0"/>
          <w:bCs w:val="0"/>
        </w:rPr>
      </w:r>
    </w:p>
    <w:p>
      <w:pPr>
        <w:pStyle w:val="BodyText"/>
        <w:spacing w:line="343" w:lineRule="auto" w:before="0"/>
        <w:ind w:left="1428" w:right="1358" w:firstLine="0"/>
        <w:jc w:val="left"/>
      </w:pPr>
      <w:r>
        <w:rPr>
          <w:position w:val="-4"/>
        </w:rPr>
        <w:drawing>
          <wp:inline distT="0" distB="0" distL="0" distR="0">
            <wp:extent cx="128016" cy="172211"/>
            <wp:effectExtent l="0" t="0" r="0" b="0"/>
            <wp:docPr id="2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provide interpretative material regarding fire safety and management</w:t>
      </w:r>
      <w:r>
        <w:rPr>
          <w:spacing w:val="-18"/>
        </w:rPr>
        <w:t> </w:t>
      </w:r>
      <w:r>
        <w:rPr>
          <w:spacing w:val="-18"/>
        </w:rPr>
      </w:r>
      <w:r>
        <w:rPr>
          <w:w w:val="100"/>
          <w:position w:val="-4"/>
        </w:rPr>
        <w:drawing>
          <wp:inline distT="0" distB="0" distL="0" distR="0">
            <wp:extent cx="128016" cy="172211"/>
            <wp:effectExtent l="0" t="0" r="0" b="0"/>
            <wp:docPr id="2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rFonts w:ascii="Times New Roman"/>
          <w:w w:val="100"/>
        </w:rPr>
        <w:t>   </w:t>
      </w:r>
      <w:r>
        <w:rPr/>
        <w:t>prohibit open fires and fuel stoves in Anglesea</w:t>
      </w:r>
      <w:r>
        <w:rPr>
          <w:spacing w:val="-15"/>
        </w:rPr>
        <w:t> </w:t>
      </w:r>
      <w:r>
        <w:rPr/>
        <w:t>Heath</w:t>
      </w:r>
    </w:p>
    <w:p>
      <w:pPr>
        <w:pStyle w:val="BodyText"/>
        <w:spacing w:line="240" w:lineRule="auto" w:before="0"/>
        <w:ind w:left="1428" w:right="234" w:firstLine="0"/>
        <w:jc w:val="left"/>
      </w:pPr>
      <w:r>
        <w:rPr>
          <w:position w:val="-4"/>
        </w:rPr>
        <w:drawing>
          <wp:inline distT="0" distB="0" distL="0" distR="0">
            <wp:extent cx="128016" cy="172211"/>
            <wp:effectExtent l="0" t="0" r="0" b="0"/>
            <wp:docPr id="2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patrol sites of highest visitor use, particularly in periods of high fire</w:t>
      </w:r>
      <w:r>
        <w:rPr>
          <w:spacing w:val="-27"/>
        </w:rPr>
        <w:t> </w:t>
      </w:r>
      <w:r>
        <w:rPr/>
        <w:t>danger</w:t>
      </w:r>
    </w:p>
    <w:p>
      <w:pPr>
        <w:pStyle w:val="BodyText"/>
        <w:spacing w:line="400" w:lineRule="exact" w:before="19"/>
        <w:ind w:left="1428" w:right="234" w:firstLine="0"/>
        <w:jc w:val="left"/>
      </w:pPr>
      <w:r>
        <w:rPr>
          <w:position w:val="-4"/>
        </w:rPr>
        <w:drawing>
          <wp:inline distT="0" distB="0" distL="0" distR="0">
            <wp:extent cx="128016" cy="172211"/>
            <wp:effectExtent l="0" t="0" r="0" b="0"/>
            <wp:docPr id="3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enforce fire regulations and restrictions on the use of fire within Anglesea Heath </w:t>
      </w:r>
      <w:r>
        <w:rPr>
          <w:spacing w:val="24"/>
        </w:rPr>
        <w:t> </w:t>
      </w:r>
      <w:r>
        <w:rPr>
          <w:spacing w:val="24"/>
        </w:rPr>
      </w:r>
      <w:r>
        <w:rPr>
          <w:spacing w:val="24"/>
        </w:rPr>
      </w:r>
      <w:r>
        <w:rPr>
          <w:w w:val="100"/>
          <w:position w:val="-4"/>
        </w:rPr>
        <w:drawing>
          <wp:inline distT="0" distB="0" distL="0" distR="0">
            <wp:extent cx="128016" cy="172211"/>
            <wp:effectExtent l="0" t="0" r="0" b="0"/>
            <wp:docPr id="3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rFonts w:ascii="Times New Roman"/>
          <w:w w:val="100"/>
        </w:rPr>
        <w:t>   </w:t>
      </w:r>
      <w:r>
        <w:rPr/>
        <w:t>use,   where   possible,   the  following   least  disturbance   strategies   for </w:t>
      </w:r>
      <w:r>
        <w:rPr>
          <w:spacing w:val="22"/>
        </w:rPr>
        <w:t> </w:t>
      </w:r>
      <w:r>
        <w:rPr/>
        <w:t>wildfire</w:t>
      </w:r>
    </w:p>
    <w:p>
      <w:pPr>
        <w:pStyle w:val="BodyText"/>
        <w:spacing w:line="248" w:lineRule="exact" w:before="0"/>
        <w:ind w:left="1853" w:right="0" w:firstLine="0"/>
        <w:jc w:val="left"/>
      </w:pPr>
      <w:r>
        <w:rPr/>
        <w:t>suppression  in  Anglesea  Heath  (in  accordance  with  the  Code  of  Practice   </w:t>
      </w:r>
      <w:r>
        <w:rPr>
          <w:spacing w:val="11"/>
        </w:rPr>
        <w:t> </w:t>
      </w:r>
      <w:r>
        <w:rPr/>
        <w:t>for</w:t>
      </w:r>
    </w:p>
    <w:p>
      <w:pPr>
        <w:pStyle w:val="BodyText"/>
        <w:spacing w:line="240" w:lineRule="auto" w:before="0"/>
        <w:ind w:left="1853" w:right="1358" w:firstLine="0"/>
        <w:jc w:val="left"/>
      </w:pPr>
      <w:r>
        <w:rPr/>
        <w:t>Bushfire</w:t>
      </w:r>
      <w:r>
        <w:rPr>
          <w:spacing w:val="-3"/>
        </w:rPr>
        <w:t> </w:t>
      </w:r>
      <w:r>
        <w:rPr/>
        <w:t>Management):</w:t>
      </w:r>
    </w:p>
    <w:p>
      <w:pPr>
        <w:pStyle w:val="ListParagraph"/>
        <w:numPr>
          <w:ilvl w:val="0"/>
          <w:numId w:val="3"/>
        </w:numPr>
        <w:tabs>
          <w:tab w:pos="2278" w:val="left" w:leader="none"/>
        </w:tabs>
        <w:spacing w:line="272" w:lineRule="exact" w:before="120" w:after="0"/>
        <w:ind w:left="2278" w:right="1358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fireline construction using hand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crews</w:t>
      </w:r>
    </w:p>
    <w:p>
      <w:pPr>
        <w:pStyle w:val="ListParagraph"/>
        <w:numPr>
          <w:ilvl w:val="0"/>
          <w:numId w:val="3"/>
        </w:numPr>
        <w:tabs>
          <w:tab w:pos="2278" w:val="left" w:leader="none"/>
        </w:tabs>
        <w:spacing w:line="269" w:lineRule="exact" w:before="0" w:after="0"/>
        <w:ind w:left="2278" w:right="1358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air attack to drop fire retardant, water 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foam</w:t>
      </w:r>
    </w:p>
    <w:p>
      <w:pPr>
        <w:pStyle w:val="ListParagraph"/>
        <w:numPr>
          <w:ilvl w:val="0"/>
          <w:numId w:val="3"/>
        </w:numPr>
        <w:tabs>
          <w:tab w:pos="2278" w:val="left" w:leader="none"/>
        </w:tabs>
        <w:spacing w:line="269" w:lineRule="exact" w:before="0" w:after="0"/>
        <w:ind w:left="2278" w:right="1358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back burning from existing roads 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tracks</w:t>
      </w:r>
    </w:p>
    <w:p>
      <w:pPr>
        <w:pStyle w:val="ListParagraph"/>
        <w:numPr>
          <w:ilvl w:val="0"/>
          <w:numId w:val="3"/>
        </w:numPr>
        <w:tabs>
          <w:tab w:pos="2278" w:val="left" w:leader="none"/>
        </w:tabs>
        <w:spacing w:line="268" w:lineRule="exact" w:before="0" w:after="0"/>
        <w:ind w:left="2278" w:right="234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using existing roads and tracks or topographic features as control</w:t>
      </w:r>
      <w:r>
        <w:rPr>
          <w:rFonts w:ascii="Calibri"/>
          <w:spacing w:val="-17"/>
          <w:sz w:val="22"/>
        </w:rPr>
        <w:t> </w:t>
      </w:r>
      <w:r>
        <w:rPr>
          <w:rFonts w:ascii="Calibri"/>
          <w:sz w:val="22"/>
        </w:rPr>
        <w:t>lines</w:t>
      </w:r>
    </w:p>
    <w:p>
      <w:pPr>
        <w:pStyle w:val="ListParagraph"/>
        <w:numPr>
          <w:ilvl w:val="0"/>
          <w:numId w:val="3"/>
        </w:numPr>
        <w:tabs>
          <w:tab w:pos="2278" w:val="left" w:leader="none"/>
        </w:tabs>
        <w:spacing w:line="268" w:lineRule="exact" w:before="0" w:after="0"/>
        <w:ind w:left="2278" w:right="234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where possible avoid the use of bulldozers within the heritage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area</w:t>
      </w:r>
    </w:p>
    <w:p>
      <w:pPr>
        <w:pStyle w:val="ListParagraph"/>
        <w:numPr>
          <w:ilvl w:val="0"/>
          <w:numId w:val="3"/>
        </w:numPr>
        <w:tabs>
          <w:tab w:pos="2278" w:val="left" w:leader="none"/>
        </w:tabs>
        <w:spacing w:line="235" w:lineRule="auto" w:before="1" w:after="0"/>
        <w:ind w:left="2278" w:right="389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where possible, avoid the use of bulldozers in areas infected with</w:t>
      </w:r>
      <w:r>
        <w:rPr>
          <w:rFonts w:ascii="Calibri"/>
          <w:spacing w:val="-18"/>
          <w:sz w:val="22"/>
        </w:rPr>
        <w:t> </w:t>
      </w:r>
      <w:r>
        <w:rPr>
          <w:rFonts w:ascii="Calibri"/>
          <w:sz w:val="22"/>
        </w:rPr>
        <w:t>Cinnamon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Fungus</w:t>
      </w:r>
    </w:p>
    <w:p>
      <w:pPr>
        <w:pStyle w:val="BodyText"/>
        <w:spacing w:line="240" w:lineRule="auto" w:before="122"/>
        <w:ind w:left="1711" w:right="230" w:hanging="284"/>
        <w:jc w:val="both"/>
      </w:pPr>
      <w:r>
        <w:rPr>
          <w:position w:val="-4"/>
        </w:rPr>
        <w:drawing>
          <wp:inline distT="0" distB="0" distL="0" distR="0">
            <wp:extent cx="128016" cy="172212"/>
            <wp:effectExtent l="0" t="0" r="0" b="0"/>
            <wp:docPr id="3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undertake washdowns and other  available measures  to  prevent the   </w:t>
      </w:r>
      <w:r>
        <w:rPr>
          <w:spacing w:val="5"/>
        </w:rPr>
        <w:t> </w:t>
      </w:r>
      <w:r>
        <w:rPr/>
        <w:t>introduction</w:t>
      </w:r>
      <w:r>
        <w:rPr>
          <w:w w:val="100"/>
        </w:rPr>
        <w:t> </w:t>
      </w:r>
      <w:r>
        <w:rPr/>
        <w:t>and/or spread of pest plants and Cinnamon Fungus during prescribed</w:t>
      </w:r>
      <w:r>
        <w:rPr>
          <w:spacing w:val="12"/>
        </w:rPr>
        <w:t> </w:t>
      </w:r>
      <w:r>
        <w:rPr/>
        <w:t>burning</w:t>
      </w:r>
      <w:r>
        <w:rPr>
          <w:w w:val="100"/>
        </w:rPr>
        <w:t> </w:t>
      </w:r>
      <w:r>
        <w:rPr/>
        <w:t>activities</w:t>
      </w:r>
    </w:p>
    <w:p>
      <w:pPr>
        <w:pStyle w:val="BodyText"/>
        <w:spacing w:line="266" w:lineRule="exact" w:before="129"/>
        <w:ind w:left="1711" w:right="233" w:hanging="284"/>
        <w:jc w:val="both"/>
      </w:pPr>
      <w:r>
        <w:rPr>
          <w:position w:val="-4"/>
        </w:rPr>
        <w:drawing>
          <wp:inline distT="0" distB="0" distL="0" distR="0">
            <wp:extent cx="128016" cy="172212"/>
            <wp:effectExtent l="0" t="0" r="0" b="0"/>
            <wp:docPr id="3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close and revegetate any new control lines after fire in accordance with the Code</w:t>
      </w:r>
      <w:r>
        <w:rPr>
          <w:spacing w:val="29"/>
        </w:rPr>
        <w:t> </w:t>
      </w:r>
      <w:r>
        <w:rPr/>
        <w:t>of</w:t>
      </w:r>
      <w:r>
        <w:rPr>
          <w:w w:val="100"/>
        </w:rPr>
        <w:t> </w:t>
      </w:r>
      <w:r>
        <w:rPr/>
        <w:t>Practice for Bushfire</w:t>
      </w:r>
      <w:r>
        <w:rPr>
          <w:spacing w:val="-6"/>
        </w:rPr>
        <w:t> </w:t>
      </w:r>
      <w:r>
        <w:rPr/>
        <w:t>Management</w:t>
      </w:r>
    </w:p>
    <w:p>
      <w:pPr>
        <w:pStyle w:val="BodyText"/>
        <w:spacing w:line="240" w:lineRule="auto" w:before="127"/>
        <w:ind w:left="1428" w:right="1358" w:firstLine="0"/>
        <w:jc w:val="left"/>
        <w:rPr>
          <w:rFonts w:ascii="Calibri" w:hAnsi="Calibri" w:cs="Calibri" w:eastAsia="Calibri"/>
        </w:rPr>
      </w:pPr>
      <w:r>
        <w:rPr>
          <w:position w:val="-4"/>
        </w:rPr>
        <w:drawing>
          <wp:inline distT="0" distB="0" distL="0" distR="0">
            <wp:extent cx="128016" cy="172212"/>
            <wp:effectExtent l="0" t="0" r="0" b="0"/>
            <wp:docPr id="3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develop Anglesea area ecological burn</w:t>
      </w:r>
      <w:r>
        <w:rPr>
          <w:spacing w:val="-9"/>
        </w:rPr>
        <w:t> </w:t>
      </w:r>
      <w:r>
        <w:rPr/>
        <w:t>strategy.</w:t>
      </w:r>
      <w:r>
        <w:rPr>
          <w:rFonts w:ascii="Calibri" w:hAnsi="Calibri" w:cs="Calibri" w:eastAsia="Calibri"/>
        </w:rPr>
        <w:t>”</w:t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51"/>
        <w:ind w:left="151" w:right="1358"/>
        <w:jc w:val="left"/>
        <w:rPr>
          <w:b w:val="0"/>
          <w:bCs w:val="0"/>
        </w:rPr>
      </w:pPr>
      <w:bookmarkStart w:name="_TOC_250006" w:id="11"/>
      <w:r>
        <w:rPr>
          <w:color w:val="1664A0"/>
        </w:rPr>
        <w:t>Fire Management for the</w:t>
      </w:r>
      <w:r>
        <w:rPr>
          <w:color w:val="1664A0"/>
          <w:spacing w:val="-11"/>
        </w:rPr>
        <w:t> </w:t>
      </w:r>
      <w:r>
        <w:rPr>
          <w:color w:val="1664A0"/>
        </w:rPr>
        <w:t>Heath</w:t>
      </w:r>
      <w:bookmarkEnd w:id="11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37" w:lineRule="auto" w:before="201" w:after="0"/>
        <w:ind w:left="946" w:right="22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Heath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is,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continue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managed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2015/16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summer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season,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DELWP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Parks Victoria as though it forms part of the adjoining Great Otway National Park.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1"/>
          <w:w w:val="100"/>
          <w:sz w:val="22"/>
        </w:rPr>
        <w:t> </w:t>
      </w:r>
      <w:r>
        <w:rPr>
          <w:rFonts w:ascii="Calibri"/>
          <w:sz w:val="22"/>
        </w:rPr>
        <w:t>approach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practical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physical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proximity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Heath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national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park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means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bushfire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Heath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continue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consistent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arrangements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national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park.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arrangements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include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those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documented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Management Agreement 2013 between DELWP and Parks Victoria,</w:t>
      </w:r>
      <w:r>
        <w:rPr>
          <w:rFonts w:ascii="Calibri"/>
          <w:position w:val="10"/>
          <w:sz w:val="14"/>
        </w:rPr>
        <w:t>10 </w:t>
      </w:r>
      <w:r>
        <w:rPr>
          <w:rFonts w:ascii="Calibri"/>
          <w:sz w:val="22"/>
        </w:rPr>
        <w:t>the Great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National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Parks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Plan,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Heath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Plan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Plan.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1" w:after="0"/>
        <w:ind w:left="946" w:right="229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DELWP’s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fire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management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role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relation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relevant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public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land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stems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from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Forests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Act.</w:t>
      </w:r>
      <w:r>
        <w:rPr>
          <w:rFonts w:ascii="Calibri" w:hAnsi="Calibri" w:cs="Calibri" w:eastAsia="Calibri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Forests</w:t>
      </w:r>
      <w:r>
        <w:rPr>
          <w:rFonts w:ascii="Calibri" w:hAnsi="Calibri" w:cs="Calibri" w:eastAsia="Calibri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Act</w:t>
      </w:r>
      <w:r>
        <w:rPr>
          <w:rFonts w:ascii="Calibri" w:hAnsi="Calibri" w:cs="Calibri" w:eastAsia="Calibri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provides</w:t>
      </w:r>
      <w:r>
        <w:rPr>
          <w:rFonts w:ascii="Calibri" w:hAnsi="Calibri" w:cs="Calibri" w:eastAsia="Calibri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that</w:t>
      </w:r>
      <w:r>
        <w:rPr>
          <w:rFonts w:ascii="Calibri" w:hAnsi="Calibri" w:cs="Calibri" w:eastAsia="Calibri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Secretary</w:t>
      </w:r>
      <w:r>
        <w:rPr>
          <w:rFonts w:ascii="Calibri" w:hAnsi="Calibri" w:cs="Calibri" w:eastAsia="Calibri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DEWLP</w:t>
      </w:r>
      <w:r>
        <w:rPr>
          <w:rFonts w:ascii="Calibri" w:hAnsi="Calibri" w:cs="Calibri" w:eastAsia="Calibri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(acting</w:t>
      </w:r>
      <w:r>
        <w:rPr>
          <w:rFonts w:ascii="Calibri" w:hAnsi="Calibri" w:cs="Calibri" w:eastAsia="Calibri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its</w:t>
      </w:r>
      <w:r>
        <w:rPr>
          <w:rFonts w:ascii="Calibri" w:hAnsi="Calibri" w:cs="Calibri" w:eastAsia="Calibri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body</w:t>
      </w:r>
      <w:r>
        <w:rPr>
          <w:rFonts w:ascii="Calibri" w:hAnsi="Calibri" w:cs="Calibri" w:eastAsia="Calibri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corporate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capacity)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must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carry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out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proper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sufficient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work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planned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prevention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fire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State forests, national parks and protected public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land.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1" w:after="0"/>
        <w:ind w:left="946" w:right="22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Heath forms land regulated by the M(AA) Act. It is not State forest, national park,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protected public land for the purposes of the Forests Act. However, on the basis of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the</w:t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0" w:lineRule="exact"/>
        <w:ind w:left="93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2003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946" w:right="231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10</w:t>
      </w:r>
      <w:r>
        <w:rPr>
          <w:rFonts w:ascii="Calibri"/>
          <w:spacing w:val="6"/>
          <w:position w:val="9"/>
          <w:sz w:val="12"/>
        </w:rPr>
        <w:t> </w:t>
      </w:r>
      <w:r>
        <w:rPr>
          <w:rFonts w:ascii="Calibri"/>
          <w:sz w:val="18"/>
        </w:rPr>
        <w:t>DELWP,</w:t>
      </w:r>
      <w:r>
        <w:rPr>
          <w:rFonts w:ascii="Calibri"/>
          <w:spacing w:val="19"/>
          <w:sz w:val="18"/>
        </w:rPr>
        <w:t> </w:t>
      </w:r>
      <w:r>
        <w:rPr>
          <w:rFonts w:ascii="Calibri"/>
          <w:sz w:val="18"/>
        </w:rPr>
        <w:t>along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with</w:t>
      </w:r>
      <w:r>
        <w:rPr>
          <w:rFonts w:ascii="Calibri"/>
          <w:spacing w:val="19"/>
          <w:sz w:val="18"/>
        </w:rPr>
        <w:t> </w:t>
      </w:r>
      <w:r>
        <w:rPr>
          <w:rFonts w:ascii="Calibri"/>
          <w:sz w:val="18"/>
        </w:rPr>
        <w:t>Parks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Victoria,</w:t>
      </w:r>
      <w:r>
        <w:rPr>
          <w:rFonts w:ascii="Calibri"/>
          <w:spacing w:val="21"/>
          <w:sz w:val="18"/>
        </w:rPr>
        <w:t> </w:t>
      </w:r>
      <w:r>
        <w:rPr>
          <w:rFonts w:ascii="Calibri"/>
          <w:sz w:val="18"/>
        </w:rPr>
        <w:t>manage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more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than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seven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million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hectares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21"/>
          <w:sz w:val="18"/>
        </w:rPr>
        <w:t> </w:t>
      </w:r>
      <w:r>
        <w:rPr>
          <w:rFonts w:ascii="Calibri"/>
          <w:sz w:val="18"/>
        </w:rPr>
        <w:t>public</w:t>
      </w:r>
      <w:r>
        <w:rPr>
          <w:rFonts w:ascii="Calibri"/>
          <w:spacing w:val="21"/>
          <w:sz w:val="18"/>
        </w:rPr>
        <w:t> </w:t>
      </w:r>
      <w:r>
        <w:rPr>
          <w:rFonts w:ascii="Calibri"/>
          <w:sz w:val="18"/>
        </w:rPr>
        <w:t>land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across</w:t>
      </w:r>
      <w:r>
        <w:rPr>
          <w:rFonts w:ascii="Calibri"/>
          <w:spacing w:val="20"/>
          <w:sz w:val="18"/>
        </w:rPr>
        <w:t> </w:t>
      </w:r>
      <w:r>
        <w:rPr>
          <w:rFonts w:ascii="Calibri"/>
          <w:sz w:val="18"/>
        </w:rPr>
        <w:t>Victoria,</w:t>
      </w:r>
      <w:r>
        <w:rPr>
          <w:rFonts w:ascii="Calibri"/>
          <w:w w:val="99"/>
          <w:sz w:val="18"/>
        </w:rPr>
        <w:t> </w:t>
      </w:r>
      <w:r>
        <w:rPr>
          <w:rFonts w:ascii="Calibri"/>
          <w:sz w:val="18"/>
        </w:rPr>
        <w:t>carrying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out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fire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z w:val="18"/>
        </w:rPr>
        <w:t>prevention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z w:val="18"/>
        </w:rPr>
        <w:t>activities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on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z w:val="18"/>
        </w:rPr>
        <w:t>this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land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15"/>
          <w:sz w:val="18"/>
        </w:rPr>
        <w:t> </w:t>
      </w:r>
      <w:r>
        <w:rPr>
          <w:rFonts w:ascii="Calibri"/>
          <w:sz w:val="18"/>
        </w:rPr>
        <w:t>help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z w:val="18"/>
        </w:rPr>
        <w:t>reduce</w:t>
      </w:r>
      <w:r>
        <w:rPr>
          <w:rFonts w:ascii="Calibri"/>
          <w:spacing w:val="19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z w:val="18"/>
        </w:rPr>
        <w:t>impacts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15"/>
          <w:sz w:val="18"/>
        </w:rPr>
        <w:t> </w:t>
      </w:r>
      <w:r>
        <w:rPr>
          <w:rFonts w:ascii="Calibri"/>
          <w:sz w:val="18"/>
        </w:rPr>
        <w:t>bushfires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15"/>
          <w:sz w:val="18"/>
        </w:rPr>
        <w:t> </w:t>
      </w:r>
      <w:r>
        <w:rPr>
          <w:rFonts w:ascii="Calibri"/>
          <w:sz w:val="18"/>
        </w:rPr>
        <w:t>communities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w w:val="100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environment.</w:t>
      </w:r>
    </w:p>
    <w:p>
      <w:pPr>
        <w:spacing w:line="240" w:lineRule="auto" w:before="10"/>
        <w:rPr>
          <w:rFonts w:ascii="Calibri" w:hAnsi="Calibri" w:cs="Calibri" w:eastAsia="Calibri"/>
          <w:sz w:val="9"/>
          <w:szCs w:val="9"/>
        </w:rPr>
      </w:pPr>
    </w:p>
    <w:p>
      <w:pPr>
        <w:spacing w:line="20" w:lineRule="exac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58pt;height:1pt;mso-position-horizontal-relative:char;mso-position-vertical-relative:line" coordorigin="0,0" coordsize="9160,20">
            <v:group style="position:absolute;left:10;top:10;width:9141;height:2" coordorigin="10,10" coordsize="9141,2">
              <v:shape style="position:absolute;left:10;top:10;width:9141;height:2" coordorigin="10,10" coordsize="9141,0" path="m10,10l9150,10e" filled="false" stroked="true" strokeweight=".96002pt" strokecolor="#4194d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exact"/>
        <w:rPr>
          <w:rFonts w:ascii="Calibri" w:hAnsi="Calibri" w:cs="Calibri" w:eastAsia="Calibri"/>
          <w:sz w:val="2"/>
          <w:szCs w:val="2"/>
        </w:rPr>
        <w:sectPr>
          <w:footerReference w:type="default" r:id="rId16"/>
          <w:pgSz w:w="11910" w:h="16840"/>
          <w:pgMar w:footer="1125" w:header="0" w:top="1480" w:bottom="1320" w:left="1260" w:right="1180"/>
          <w:pgNumType w:start="11"/>
        </w:sectPr>
      </w:pPr>
    </w:p>
    <w:p>
      <w:pPr>
        <w:pStyle w:val="BodyText"/>
        <w:spacing w:line="240" w:lineRule="auto" w:before="40"/>
        <w:ind w:right="227" w:firstLine="0"/>
        <w:jc w:val="both"/>
        <w:rPr>
          <w:rFonts w:ascii="Calibri" w:hAnsi="Calibri" w:cs="Calibri" w:eastAsia="Calibri"/>
        </w:rPr>
      </w:pPr>
      <w:r>
        <w:rPr/>
        <w:t>Cooperative Land Management Agreement, for practical purposes it is managed by</w:t>
      </w:r>
      <w:r>
        <w:rPr>
          <w:spacing w:val="43"/>
        </w:rPr>
        <w:t> </w:t>
      </w:r>
      <w:r>
        <w:rPr/>
        <w:t>DELWP</w:t>
      </w:r>
      <w:r>
        <w:rPr>
          <w:w w:val="100"/>
        </w:rPr>
        <w:t> </w:t>
      </w:r>
      <w:r>
        <w:rPr/>
        <w:t>and Parks Victoria. The management of the Heath is fully integrated with the</w:t>
      </w:r>
      <w:r>
        <w:rPr>
          <w:spacing w:val="8"/>
        </w:rPr>
        <w:t> </w:t>
      </w:r>
      <w:r>
        <w:rPr/>
        <w:t>broader</w:t>
      </w:r>
      <w:r>
        <w:rPr>
          <w:w w:val="100"/>
        </w:rPr>
        <w:t> </w:t>
      </w:r>
      <w:r>
        <w:rPr>
          <w:rFonts w:ascii="Calibri" w:hAnsi="Calibri" w:cs="Calibri" w:eastAsia="Calibri"/>
        </w:rPr>
        <w:t>bushfire management program in DELWP’s Barwon South West</w:t>
      </w:r>
      <w:r>
        <w:rPr>
          <w:rFonts w:ascii="Calibri" w:hAnsi="Calibri" w:cs="Calibri" w:eastAsia="Calibri"/>
          <w:spacing w:val="-13"/>
        </w:rPr>
        <w:t> </w:t>
      </w:r>
      <w:r>
        <w:rPr>
          <w:rFonts w:ascii="Calibri" w:hAnsi="Calibri" w:cs="Calibri" w:eastAsia="Calibri"/>
        </w:rPr>
        <w:t>Region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34" w:hanging="7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Bushfire management planning for public land in Victoria occurs at State, regional and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local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levels, as seen in </w:t>
      </w:r>
      <w:r>
        <w:rPr>
          <w:rFonts w:ascii="Calibri"/>
          <w:b/>
          <w:sz w:val="22"/>
        </w:rPr>
        <w:t>Figure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1.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line="5429" w:lineRule="exact"/>
        <w:ind w:left="83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08"/>
          <w:sz w:val="20"/>
          <w:szCs w:val="20"/>
        </w:rPr>
        <w:pict>
          <v:group style="width:425.75pt;height:271.5pt;mso-position-horizontal-relative:char;mso-position-vertical-relative:line" coordorigin="0,0" coordsize="8515,5430">
            <v:group style="position:absolute;left:10;top:10;width:8495;height:2" coordorigin="10,10" coordsize="8495,2">
              <v:shape style="position:absolute;left:10;top:10;width:8495;height:2" coordorigin="10,10" coordsize="8495,0" path="m10,10l8505,10e" filled="false" stroked="true" strokeweight=".48pt" strokecolor="#000000">
                <v:path arrowok="t"/>
              </v:shape>
            </v:group>
            <v:group style="position:absolute;left:5;top:5;width:2;height:5420" coordorigin="5,5" coordsize="2,5420">
              <v:shape style="position:absolute;left:5;top:5;width:2;height:5420" coordorigin="5,5" coordsize="0,5420" path="m5,5l5,5425e" filled="false" stroked="true" strokeweight=".48pt" strokecolor="#000000">
                <v:path arrowok="t"/>
              </v:shape>
            </v:group>
            <v:group style="position:absolute;left:10;top:5420;width:8495;height:2" coordorigin="10,5420" coordsize="8495,2">
              <v:shape style="position:absolute;left:10;top:5420;width:8495;height:2" coordorigin="10,5420" coordsize="8495,0" path="m10,5420l8505,5420e" filled="false" stroked="true" strokeweight=".47998pt" strokecolor="#000000">
                <v:path arrowok="t"/>
              </v:shape>
            </v:group>
            <v:group style="position:absolute;left:8510;top:5;width:2;height:5420" coordorigin="8510,5" coordsize="2,5420">
              <v:shape style="position:absolute;left:8510;top:5;width:2;height:5420" coordorigin="8510,5" coordsize="0,5420" path="m8510,5l8510,5425e" filled="false" stroked="true" strokeweight=".47998pt" strokecolor="#000000">
                <v:path arrowok="t"/>
              </v:shape>
              <v:shape style="position:absolute;left:113;top:14;width:7200;height:5400" type="#_x0000_t75" stroked="false">
                <v:imagedata r:id="rId17" o:title=""/>
              </v:shape>
            </v:group>
          </v:group>
        </w:pict>
      </w:r>
      <w:r>
        <w:rPr>
          <w:rFonts w:ascii="Calibri" w:hAnsi="Calibri" w:cs="Calibri" w:eastAsia="Calibri"/>
          <w:position w:val="-108"/>
          <w:sz w:val="20"/>
          <w:szCs w:val="20"/>
        </w:rPr>
      </w:r>
    </w:p>
    <w:p>
      <w:pPr>
        <w:pStyle w:val="Heading3"/>
        <w:spacing w:line="240" w:lineRule="auto"/>
        <w:ind w:left="859" w:right="389"/>
        <w:jc w:val="left"/>
        <w:rPr>
          <w:b w:val="0"/>
          <w:bCs w:val="0"/>
        </w:rPr>
      </w:pPr>
      <w:r>
        <w:rPr/>
        <w:t>Figure</w:t>
      </w:r>
      <w:r>
        <w:rPr>
          <w:spacing w:val="-5"/>
        </w:rPr>
        <w:t> </w:t>
      </w:r>
      <w:r>
        <w:rPr/>
        <w:t>1:</w:t>
      </w:r>
      <w:r>
        <w:rPr>
          <w:spacing w:val="-3"/>
        </w:rPr>
        <w:t> </w:t>
      </w:r>
      <w:r>
        <w:rPr/>
        <w:t>Bushfire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Victoria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regional</w:t>
      </w:r>
      <w:r>
        <w:rPr>
          <w:w w:val="100"/>
        </w:rPr>
        <w:t> </w:t>
      </w:r>
      <w:r>
        <w:rPr/>
        <w:t>and local</w:t>
      </w:r>
      <w:r>
        <w:rPr>
          <w:spacing w:val="-6"/>
        </w:rPr>
        <w:t> </w:t>
      </w:r>
      <w:r>
        <w:rPr/>
        <w:t>level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30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series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regional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level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plans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are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place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address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bushfire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management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DELWP’s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Barwon South West Region,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including:</w:t>
      </w:r>
    </w:p>
    <w:p>
      <w:pPr>
        <w:pStyle w:val="BodyText"/>
        <w:spacing w:line="266" w:lineRule="exact" w:before="129"/>
        <w:ind w:left="1570" w:right="234" w:hanging="425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4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a   strategic   bushfire   management   plan   (for   the)   Barwon   Otway   Bushfire</w:t>
      </w:r>
      <w:r>
        <w:rPr>
          <w:spacing w:val="-4"/>
        </w:rPr>
        <w:t> </w:t>
      </w:r>
      <w:r>
        <w:rPr/>
        <w:t>Risk</w:t>
      </w:r>
      <w:r>
        <w:rPr>
          <w:w w:val="100"/>
        </w:rPr>
        <w:t> </w:t>
      </w:r>
      <w:r>
        <w:rPr/>
        <w:t>Landscape</w:t>
      </w:r>
    </w:p>
    <w:p>
      <w:pPr>
        <w:pStyle w:val="BodyText"/>
        <w:spacing w:line="343" w:lineRule="auto" w:before="126"/>
        <w:ind w:left="1145" w:right="927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4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Barwon South West Readiness and Response Plan (which is updated annually)</w:t>
      </w:r>
      <w:r>
        <w:rPr>
          <w:spacing w:val="-12"/>
        </w:rPr>
        <w:t> </w:t>
      </w:r>
      <w:r>
        <w:rPr>
          <w:spacing w:val="-12"/>
        </w:rPr>
      </w:r>
      <w:r>
        <w:rPr>
          <w:w w:val="100"/>
          <w:position w:val="-4"/>
        </w:rPr>
        <w:drawing>
          <wp:inline distT="0" distB="0" distL="0" distR="0">
            <wp:extent cx="128015" cy="172212"/>
            <wp:effectExtent l="0" t="0" r="0" b="0"/>
            <wp:docPr id="4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rFonts w:ascii="Times New Roman"/>
          <w:w w:val="100"/>
        </w:rPr>
        <w:t>   </w:t>
      </w:r>
      <w:r>
        <w:rPr/>
        <w:t>Fire Operations Plan Barwon South West Region (which is updated</w:t>
      </w:r>
      <w:r>
        <w:rPr>
          <w:spacing w:val="-17"/>
        </w:rPr>
        <w:t> </w:t>
      </w:r>
      <w:r>
        <w:rPr/>
        <w:t>annually).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0" w:after="0"/>
        <w:ind w:left="946" w:right="22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These</w:t>
      </w:r>
      <w:r>
        <w:rPr>
          <w:rFonts w:ascii="Calibri" w:hAnsi="Calibri" w:cs="Calibri" w:eastAsia="Calibri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plans</w:t>
      </w:r>
      <w:r>
        <w:rPr>
          <w:rFonts w:ascii="Calibri" w:hAnsi="Calibri" w:cs="Calibri" w:eastAsia="Calibri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inform</w:t>
      </w:r>
      <w:r>
        <w:rPr>
          <w:rFonts w:ascii="Calibri" w:hAnsi="Calibri" w:cs="Calibri" w:eastAsia="Calibri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local</w:t>
      </w:r>
      <w:r>
        <w:rPr>
          <w:rFonts w:ascii="Calibri" w:hAnsi="Calibri" w:cs="Calibri" w:eastAsia="Calibri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level</w:t>
      </w:r>
      <w:r>
        <w:rPr>
          <w:rFonts w:ascii="Calibri" w:hAnsi="Calibri" w:cs="Calibri" w:eastAsia="Calibri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planning</w:t>
      </w:r>
      <w:r>
        <w:rPr>
          <w:rFonts w:ascii="Calibri" w:hAnsi="Calibri" w:cs="Calibri" w:eastAsia="Calibri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resource</w:t>
      </w:r>
      <w:r>
        <w:rPr>
          <w:rFonts w:ascii="Calibri" w:hAnsi="Calibri" w:cs="Calibri" w:eastAsia="Calibri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allocation</w:t>
      </w:r>
      <w:r>
        <w:rPr>
          <w:rFonts w:ascii="Calibri" w:hAnsi="Calibri" w:cs="Calibri" w:eastAsia="Calibri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within</w:t>
      </w:r>
      <w:r>
        <w:rPr>
          <w:rFonts w:ascii="Calibri" w:hAnsi="Calibri" w:cs="Calibri" w:eastAsia="Calibri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DELWP’s</w:t>
      </w:r>
      <w:r>
        <w:rPr>
          <w:rFonts w:ascii="Calibri" w:hAnsi="Calibri" w:cs="Calibri" w:eastAsia="Calibri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Barwon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South West Region, and guide DELWP and Parks Victoria, as the managers of relevant</w:t>
      </w:r>
      <w:r>
        <w:rPr>
          <w:rFonts w:ascii="Calibri" w:hAnsi="Calibri" w:cs="Calibri" w:eastAsia="Calibri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public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land, in undertaking coordinated prevention, fuel management, preparedness, and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response</w:t>
      </w:r>
      <w:r>
        <w:rPr>
          <w:rFonts w:ascii="Calibri" w:hAnsi="Calibri" w:cs="Calibri" w:eastAsia="Calibri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 recovery actions on relevant public land to reduce bushfire risk and promote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ecosystem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resilience.</w:t>
      </w:r>
    </w:p>
    <w:p>
      <w:pPr>
        <w:spacing w:before="120"/>
        <w:ind w:left="946" w:right="135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Barwon Otway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Plan</w:t>
      </w:r>
      <w:r>
        <w:rPr>
          <w:rFonts w:ascii="Calibri"/>
          <w:sz w:val="22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1" w:after="0"/>
        <w:ind w:left="946" w:right="22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For strategic bushfire management planning purposes, Victoria is broken up into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seven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bushfire risk landscapes. Strategic bushfire management plans are developed for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each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bushfire risk landscape to guide implementation of bushfire mitigation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strategies.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2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‘bushfire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risk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landscape’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is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area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where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bushfire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behaviour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is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sufficiently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common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treat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area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as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whole;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such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as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types</w:t>
      </w:r>
      <w:r>
        <w:rPr>
          <w:rFonts w:ascii="Calibri" w:hAnsi="Calibri" w:cs="Calibri" w:eastAsia="Calibri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places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bushfires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can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start,</w:t>
      </w:r>
      <w:r>
        <w:rPr>
          <w:rFonts w:ascii="Calibri" w:hAnsi="Calibri" w:cs="Calibri" w:eastAsia="Calibri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terrain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vegetation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that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they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could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spread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types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impacts</w:t>
      </w:r>
      <w:r>
        <w:rPr>
          <w:rFonts w:ascii="Calibri" w:hAnsi="Calibri" w:cs="Calibri" w:eastAsia="Calibri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that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could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occur.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risk</w:t>
      </w:r>
    </w:p>
    <w:p>
      <w:pPr>
        <w:spacing w:after="0" w:line="240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5" w:top="1520" w:bottom="1320" w:left="1260" w:right="1180"/>
        </w:sectPr>
      </w:pPr>
    </w:p>
    <w:p>
      <w:pPr>
        <w:pStyle w:val="BodyText"/>
        <w:spacing w:line="240" w:lineRule="auto" w:before="40"/>
        <w:ind w:right="52" w:firstLine="0"/>
        <w:jc w:val="left"/>
      </w:pPr>
      <w:r>
        <w:rPr/>
        <w:pict>
          <v:group style="position:absolute;margin-left:69.143997pt;margin-top:772.055969pt;width:457.05pt;height:.1pt;mso-position-horizontal-relative:page;mso-position-vertical-relative:page;z-index:-36400" coordorigin="1383,15441" coordsize="9141,2">
            <v:shape style="position:absolute;left:1383;top:15441;width:9141;height:2" coordorigin="1383,15441" coordsize="9141,0" path="m1383,15441l10523,15441e" filled="false" stroked="true" strokeweight=".96002pt" strokecolor="#4194d2">
              <v:path arrowok="t"/>
            </v:shape>
            <w10:wrap type="none"/>
          </v:group>
        </w:pict>
      </w:r>
      <w:r>
        <w:rPr/>
        <w:t>landscape that encompasses the Heath is the Barwon Otway Bushfire Risk Landscape,</w:t>
      </w:r>
      <w:r>
        <w:rPr>
          <w:spacing w:val="43"/>
        </w:rPr>
        <w:t> </w:t>
      </w:r>
      <w:r>
        <w:rPr/>
        <w:t>which</w:t>
      </w:r>
      <w:r>
        <w:rPr>
          <w:w w:val="100"/>
        </w:rPr>
        <w:t> </w:t>
      </w:r>
      <w:r>
        <w:rPr/>
        <w:t>is wholly </w:t>
      </w:r>
      <w:r>
        <w:rPr>
          <w:rFonts w:ascii="Calibri" w:hAnsi="Calibri" w:cs="Calibri" w:eastAsia="Calibri"/>
        </w:rPr>
        <w:t>located within DELWP’s Barwon South West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Region</w:t>
      </w:r>
      <w:r>
        <w:rPr/>
        <w:t>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8" w:lineRule="exact" w:before="115" w:after="0"/>
        <w:ind w:left="946" w:right="147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sz w:val="22"/>
          <w:szCs w:val="22"/>
        </w:rPr>
        <w:t>The Barwon Otway Bushfire Risk Landscape covers 1,065,300 hectares, which is five per</w:t>
      </w:r>
      <w:r>
        <w:rPr>
          <w:rFonts w:ascii="Calibri" w:hAnsi="Calibri" w:cs="Calibri" w:eastAsia="Calibri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cent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 the State’s area.</w:t>
      </w:r>
      <w:r>
        <w:rPr>
          <w:rFonts w:ascii="Calibri" w:hAnsi="Calibri" w:cs="Calibri" w:eastAsia="Calibri"/>
          <w:position w:val="10"/>
          <w:sz w:val="14"/>
          <w:szCs w:val="14"/>
        </w:rPr>
        <w:t>11 </w:t>
      </w:r>
      <w:r>
        <w:rPr>
          <w:rFonts w:ascii="Calibri" w:hAnsi="Calibri" w:cs="Calibri" w:eastAsia="Calibri"/>
          <w:sz w:val="22"/>
          <w:szCs w:val="22"/>
        </w:rPr>
        <w:t>Of this, 4.6 per cent of the landscape is public land managed by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DELWP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(48,500 hectares) and 13.5 per cent is public land managed by Parks Victoria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(143,900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hectares).</w:t>
      </w:r>
      <w:r>
        <w:rPr>
          <w:rFonts w:ascii="Calibri" w:hAnsi="Calibri" w:cs="Calibri" w:eastAsia="Calibri"/>
          <w:position w:val="10"/>
          <w:sz w:val="14"/>
          <w:szCs w:val="14"/>
        </w:rPr>
        <w:t>12</w:t>
      </w:r>
      <w:r>
        <w:rPr>
          <w:rFonts w:ascii="Calibri" w:hAnsi="Calibri" w:cs="Calibri" w:eastAsia="Calibri"/>
          <w:sz w:val="14"/>
          <w:szCs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5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The Barwon Otway Plan outlines the fuel management strategy, and other actions that</w:t>
      </w:r>
      <w:r>
        <w:rPr>
          <w:rFonts w:ascii="Calibri" w:hAnsi="Calibri" w:cs="Calibri" w:eastAsia="Calibri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will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be</w:t>
      </w:r>
      <w:r>
        <w:rPr>
          <w:rFonts w:ascii="Calibri" w:hAnsi="Calibri" w:cs="Calibri" w:eastAsia="Calibri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undertaken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by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DELWP</w:t>
      </w:r>
      <w:r>
        <w:rPr>
          <w:rFonts w:ascii="Calibri" w:hAnsi="Calibri" w:cs="Calibri" w:eastAsia="Calibri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Parks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Victoria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minimise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impact</w:t>
      </w:r>
      <w:r>
        <w:rPr>
          <w:rFonts w:ascii="Calibri" w:hAnsi="Calibri" w:cs="Calibri" w:eastAsia="Calibri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major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bushfires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people, property, infrastructure and economic activity within the region. The Barwon</w:t>
      </w:r>
      <w:r>
        <w:rPr>
          <w:rFonts w:ascii="Calibri" w:hAnsi="Calibri" w:cs="Calibri" w:eastAsia="Calibri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Otway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Plan guides DELWP and Parks Victoria on the coordinated implementation of works</w:t>
      </w:r>
      <w:r>
        <w:rPr>
          <w:rFonts w:ascii="Calibri" w:hAnsi="Calibri" w:cs="Calibri" w:eastAsia="Calibri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comply with the Code of Practice for Bushfire Management, which is the State’s</w:t>
      </w:r>
      <w:r>
        <w:rPr>
          <w:rFonts w:ascii="Calibri" w:hAnsi="Calibri" w:cs="Calibri" w:eastAsia="Calibri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key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governing document for bushfire management on public land in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Victoria.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Plan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aims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reduce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impact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bushfires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communities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(such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Anglesea, Aireys Inlet and Lorne), infrastructure and high-value ecosystem areas. This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achieved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managing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fuel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loads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reduce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spread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intensity.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Strategic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management planning involves conducting detailed likelihood and consequence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assessments across the landscape. These risk assessments are used to target 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locations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where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fuel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activities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contribute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mitigating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spread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intensity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fires. Fuel management activities are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conducted:</w:t>
      </w:r>
    </w:p>
    <w:p>
      <w:pPr>
        <w:pStyle w:val="BodyText"/>
        <w:spacing w:line="240" w:lineRule="auto" w:before="121"/>
        <w:ind w:left="1145" w:right="414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4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in areas where bushfires are likely to start, to prevent or limit</w:t>
      </w:r>
      <w:r>
        <w:rPr>
          <w:spacing w:val="-16"/>
        </w:rPr>
        <w:t> </w:t>
      </w:r>
      <w:r>
        <w:rPr/>
        <w:t>ignition</w:t>
      </w:r>
    </w:p>
    <w:p>
      <w:pPr>
        <w:pStyle w:val="BodyText"/>
        <w:spacing w:line="240" w:lineRule="auto" w:before="121"/>
        <w:ind w:left="1570" w:right="52" w:hanging="425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4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along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paths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bushfires</w:t>
      </w:r>
      <w:r>
        <w:rPr>
          <w:spacing w:val="29"/>
        </w:rPr>
        <w:t> </w:t>
      </w:r>
      <w:r>
        <w:rPr/>
        <w:t>are</w:t>
      </w:r>
      <w:r>
        <w:rPr>
          <w:spacing w:val="27"/>
        </w:rPr>
        <w:t> </w:t>
      </w:r>
      <w:r>
        <w:rPr/>
        <w:t>likely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spread,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reduce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rate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spread,</w:t>
      </w:r>
      <w:r>
        <w:rPr>
          <w:w w:val="100"/>
        </w:rPr>
        <w:t> </w:t>
      </w:r>
      <w:r>
        <w:rPr/>
        <w:t>intensity and long-distance spotting</w:t>
      </w:r>
      <w:r>
        <w:rPr>
          <w:spacing w:val="-12"/>
        </w:rPr>
        <w:t> </w:t>
      </w:r>
      <w:r>
        <w:rPr/>
        <w:t>potential</w:t>
      </w:r>
    </w:p>
    <w:p>
      <w:pPr>
        <w:pStyle w:val="BodyText"/>
        <w:spacing w:line="266" w:lineRule="exact" w:before="129"/>
        <w:ind w:left="1570" w:right="52" w:hanging="425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5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close  to  high-priority  assets,  to  reduce  the  intensity  and  short-distance   spotting</w:t>
      </w:r>
      <w:r>
        <w:rPr>
          <w:w w:val="100"/>
        </w:rPr>
        <w:t> </w:t>
      </w:r>
      <w:r>
        <w:rPr/>
        <w:t>potential of</w:t>
      </w:r>
      <w:r>
        <w:rPr>
          <w:spacing w:val="-4"/>
        </w:rPr>
        <w:t> </w:t>
      </w:r>
      <w:r>
        <w:rPr/>
        <w:t>bushfires.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6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DELWP</w:t>
      </w:r>
      <w:r>
        <w:rPr>
          <w:rFonts w:ascii="Calibri" w:hAnsi="Calibri" w:cs="Calibri" w:eastAsia="Calibri"/>
          <w:sz w:val="22"/>
          <w:szCs w:val="22"/>
        </w:rPr>
        <w:t>’s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Otway</w:t>
      </w:r>
      <w:r>
        <w:rPr>
          <w:rFonts w:ascii="Calibri" w:hAnsi="Calibri" w:cs="Calibri" w:eastAsia="Calibri"/>
          <w:sz w:val="22"/>
          <w:szCs w:val="22"/>
        </w:rPr>
        <w:t>’</w:t>
      </w:r>
      <w:r>
        <w:rPr>
          <w:rFonts w:ascii="Calibri" w:hAnsi="Calibri" w:cs="Calibri" w:eastAsia="Calibri"/>
          <w:sz w:val="22"/>
          <w:szCs w:val="22"/>
        </w:rPr>
        <w:t>s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District,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with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support</w:t>
      </w:r>
      <w:r>
        <w:rPr>
          <w:rFonts w:ascii="Calibri" w:hAnsi="Calibri" w:cs="Calibri" w:eastAsia="Calibri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Parks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Victoria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strong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relationship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with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CFA,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leads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delivery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fire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management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programs</w:t>
      </w:r>
      <w:r>
        <w:rPr>
          <w:rFonts w:ascii="Calibri" w:hAnsi="Calibri" w:cs="Calibri" w:eastAsia="Calibri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within</w:t>
      </w:r>
      <w:r>
        <w:rPr>
          <w:rFonts w:ascii="Calibri" w:hAnsi="Calibri" w:cs="Calibri" w:eastAsia="Calibri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Barwon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South</w:t>
      </w:r>
      <w:r>
        <w:rPr>
          <w:rFonts w:ascii="Calibri" w:hAnsi="Calibri" w:cs="Calibri" w:eastAsia="Calibri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West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Region. The management of fire risk extends to strategies and activities across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emergency management spectrum, from prevention, preparedness and fuel management</w:t>
      </w:r>
      <w:r>
        <w:rPr>
          <w:rFonts w:ascii="Calibri" w:hAnsi="Calibri" w:cs="Calibri" w:eastAsia="Calibri"/>
          <w:spacing w:val="-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response and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recovery.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right="414"/>
        <w:jc w:val="left"/>
        <w:rPr>
          <w:b w:val="0"/>
          <w:bCs w:val="0"/>
        </w:rPr>
      </w:pPr>
      <w:bookmarkStart w:name="_TOC_250005" w:id="12"/>
      <w:r>
        <w:rPr/>
        <w:t>Prevention</w:t>
      </w:r>
      <w:bookmarkEnd w:id="12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7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Preventing fires from igniting and spreading on public land lowers the risk of fires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impacting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on communities and the environment. DELWP and Parks Victoria carry out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numerous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activities to prevent fires from igniting on public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land.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DELWP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Parks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Victoria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engage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communities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educate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people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promote shared responsibility and risk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Officers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DELWP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Parks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Victoria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patrol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campsites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severe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weather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days,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days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leading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up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severe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weather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conditions.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officers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inspect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campsites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to ensure compliance with relevant regulations and issue fines for non-compliance,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enforce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total fire ban days, and engage with campers about fire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danger.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exact"/>
        <w:ind w:left="93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2003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spacing w:before="74"/>
        <w:ind w:left="946" w:right="41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10"/>
          <w:sz w:val="13"/>
          <w:szCs w:val="13"/>
        </w:rPr>
        <w:t>11 </w:t>
      </w:r>
      <w:r>
        <w:rPr>
          <w:rFonts w:ascii="Calibri" w:hAnsi="Calibri" w:cs="Calibri" w:eastAsia="Calibri"/>
          <w:sz w:val="20"/>
          <w:szCs w:val="20"/>
        </w:rPr>
        <w:t>Strategic Bushfire Management Plan </w:t>
      </w:r>
      <w:r>
        <w:rPr>
          <w:rFonts w:ascii="Calibri" w:hAnsi="Calibri" w:cs="Calibri" w:eastAsia="Calibri"/>
          <w:sz w:val="20"/>
          <w:szCs w:val="20"/>
        </w:rPr>
        <w:t>– </w:t>
      </w:r>
      <w:r>
        <w:rPr>
          <w:rFonts w:ascii="Calibri" w:hAnsi="Calibri" w:cs="Calibri" w:eastAsia="Calibri"/>
          <w:sz w:val="20"/>
          <w:szCs w:val="20"/>
        </w:rPr>
        <w:t>Barwon Otway Bushfires Risk Landscape 2014, page</w:t>
      </w:r>
      <w:r>
        <w:rPr>
          <w:rFonts w:ascii="Calibri" w:hAnsi="Calibri" w:cs="Calibri" w:eastAsia="Calibri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10.</w:t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8"/>
          <w:pgSz w:w="11910" w:h="16840"/>
          <w:pgMar w:footer="1435" w:header="0" w:top="1520" w:bottom="1620" w:left="1260" w:right="1260"/>
          <w:pgNumType w:start="13"/>
        </w:sectPr>
      </w:pPr>
    </w:p>
    <w:p>
      <w:pPr>
        <w:spacing w:before="40"/>
        <w:ind w:left="946" w:right="414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69.143997pt;margin-top:772.055969pt;width:457.05pt;height:.1pt;mso-position-horizontal-relative:page;mso-position-vertical-relative:page;z-index:-36352" coordorigin="1383,15441" coordsize="9141,2">
            <v:shape style="position:absolute;left:1383;top:15441;width:9141;height:2" coordorigin="1383,15441" coordsize="9141,0" path="m1383,15441l10523,15441e" filled="false" stroked="true" strokeweight=".96002pt" strokecolor="#4194d2">
              <v:path arrowok="t"/>
            </v:shape>
            <w10:wrap type="none"/>
          </v:group>
        </w:pict>
      </w:r>
      <w:r>
        <w:rPr>
          <w:rFonts w:ascii="Calibri"/>
          <w:i/>
          <w:sz w:val="22"/>
        </w:rPr>
        <w:t>Fuel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55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Managing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fuel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loads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on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public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land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is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important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part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DELWP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Parks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Victoria’s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fire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prevention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activities.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likelihood of a fire igniting and spreading is impacted by a range of factors, including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terrain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vegetation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within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landscape.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Fuel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landscape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reduces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amount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vegetation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could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consume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includes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planned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burning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mechanical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fuel reduction activities, such as slashing and mowing, to remove undergrowth and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tree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canopies.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DELWP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Parks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Victoria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undertake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range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fuel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activities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reduce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fuel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loads,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including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decreasing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quantity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leaf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litter,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twigs,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bark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undergrowth.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carried out by planned burning and mechanical methods, such as mulching,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applying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herbicide, mowing 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slashing.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Planned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burning,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deliberate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introduction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into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landscape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reduce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fuel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load,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effective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method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manage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fuels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large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areas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public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lands.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main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mechanism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DELWP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Parks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Victoria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reduce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bushfire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Otway Plan. Planned burns also play a role in ecological management and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forest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regeneration.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Although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planned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burning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cannot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eliminate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bushfires,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reduces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fuel loads and can increase the effectiveness of fire suppression activities, which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decreases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 likelihood of fires igniting and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spreading.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8" w:lineRule="exact" w:before="115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Approximately 180,000 hectares, or 17 per cent of the total landscape, of the Barwon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Risk Landscape is treatable by planned burning, comprising 42 per cent of public land and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10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per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cent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private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land.</w:t>
      </w:r>
      <w:r>
        <w:rPr>
          <w:rFonts w:ascii="Calibri"/>
          <w:position w:val="10"/>
          <w:sz w:val="14"/>
        </w:rPr>
        <w:t>13</w:t>
      </w:r>
      <w:r>
        <w:rPr>
          <w:rFonts w:ascii="Calibri"/>
          <w:spacing w:val="1"/>
          <w:position w:val="10"/>
          <w:sz w:val="14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remaining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land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treatable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planned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burning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because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vegetation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cannot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readily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treated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controlled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conditions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(such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wet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forest),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land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sensitive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fire,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physically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too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difficult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burn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occupied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infrastructure or private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homes.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5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In the past 10 years, 11.3 per cent of the public land and 0.1 per cent of the private land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been burnt through planned burning in the Barwon Otway bushfire risk landscape.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w w:val="100"/>
          <w:sz w:val="22"/>
        </w:rPr>
        <w:t> </w:t>
      </w:r>
      <w:r>
        <w:rPr>
          <w:rFonts w:ascii="Calibri"/>
          <w:sz w:val="22"/>
        </w:rPr>
        <w:t>planned burning targets for 2015/16 have been set at 9,000 hectares for the Barwon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Bushfire Risk Landscape, which is approximately five per cent of public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land.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8" w:lineRule="exact" w:before="115" w:after="0"/>
        <w:ind w:left="946" w:right="150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22"/>
        </w:rPr>
        <w:t>Implementation of the Barwon Otway Plan has significantly reduced the risk of bushfires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communities in the region. Fuel management activities on public land have reduced 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79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per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cent.</w:t>
      </w:r>
      <w:r>
        <w:rPr>
          <w:rFonts w:ascii="Calibri"/>
          <w:position w:val="10"/>
          <w:sz w:val="14"/>
        </w:rPr>
        <w:t>14</w:t>
      </w:r>
      <w:r>
        <w:rPr>
          <w:rFonts w:ascii="Calibri"/>
          <w:spacing w:val="29"/>
          <w:position w:val="10"/>
          <w:sz w:val="14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seen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b/>
          <w:sz w:val="22"/>
        </w:rPr>
        <w:t>Figure</w:t>
      </w:r>
      <w:r>
        <w:rPr>
          <w:rFonts w:ascii="Calibri"/>
          <w:b/>
          <w:spacing w:val="12"/>
          <w:sz w:val="22"/>
        </w:rPr>
        <w:t> </w:t>
      </w:r>
      <w:r>
        <w:rPr>
          <w:rFonts w:ascii="Calibri"/>
          <w:b/>
          <w:sz w:val="22"/>
        </w:rPr>
        <w:t>2</w:t>
      </w:r>
      <w:r>
        <w:rPr>
          <w:rFonts w:ascii="Calibri"/>
          <w:sz w:val="22"/>
        </w:rPr>
        <w:t>,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modelled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residual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bushfires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communities is between 50 per cent and 65 per cent in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z w:val="22"/>
        </w:rPr>
        <w:t>2015.</w:t>
      </w:r>
      <w:r>
        <w:rPr>
          <w:rFonts w:ascii="Calibri"/>
          <w:position w:val="10"/>
          <w:sz w:val="14"/>
        </w:rPr>
        <w:t>15</w:t>
      </w:r>
      <w:r>
        <w:rPr>
          <w:rFonts w:ascii="Calibri"/>
          <w:sz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5" w:after="0"/>
        <w:ind w:left="946" w:right="150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Strategic fire management modelling indicates that planned burning and fuel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reduction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activities have significantly reduced the residual risk faced by the communities in the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region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since the Ash Wednesday bushfires of 1983 burnt through 41,000 hectares in the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Otway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Ranges and resulted in the loss of three lives and 782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buildings.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exact"/>
        <w:ind w:left="93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199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spacing w:line="261" w:lineRule="exact" w:before="74"/>
        <w:ind w:left="946" w:right="41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10"/>
          <w:sz w:val="13"/>
        </w:rPr>
        <w:t>13 </w:t>
      </w:r>
      <w:r>
        <w:rPr>
          <w:rFonts w:ascii="Calibri"/>
          <w:sz w:val="20"/>
        </w:rPr>
        <w:t>Ibid, page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28.</w:t>
      </w:r>
    </w:p>
    <w:p>
      <w:pPr>
        <w:spacing w:line="261" w:lineRule="exact" w:before="0"/>
        <w:ind w:left="946" w:right="41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10"/>
          <w:sz w:val="13"/>
        </w:rPr>
        <w:t>14 </w:t>
      </w:r>
      <w:r>
        <w:rPr>
          <w:rFonts w:ascii="Calibri"/>
          <w:sz w:val="20"/>
        </w:rPr>
        <w:t>Ibid, page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31.</w:t>
      </w:r>
    </w:p>
    <w:p>
      <w:pPr>
        <w:spacing w:after="0" w:line="261" w:lineRule="exact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9"/>
          <w:pgSz w:w="11910" w:h="16840"/>
          <w:pgMar w:footer="1435" w:header="0" w:top="1520" w:bottom="1620" w:left="1260" w:right="1260"/>
          <w:pgNumType w:start="14"/>
        </w:sectPr>
      </w:pPr>
    </w:p>
    <w:p>
      <w:pPr>
        <w:spacing w:line="240" w:lineRule="auto" w:before="5"/>
        <w:rPr>
          <w:rFonts w:ascii="Calibri" w:hAnsi="Calibri" w:cs="Calibri" w:eastAsia="Calibri"/>
          <w:sz w:val="6"/>
          <w:szCs w:val="6"/>
        </w:rPr>
      </w:pPr>
    </w:p>
    <w:p>
      <w:pPr>
        <w:spacing w:line="7208" w:lineRule="exact"/>
        <w:ind w:left="83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43"/>
          <w:sz w:val="20"/>
          <w:szCs w:val="20"/>
        </w:rPr>
        <w:pict>
          <v:group style="width:425.75pt;height:360.45pt;mso-position-horizontal-relative:char;mso-position-vertical-relative:line" coordorigin="0,0" coordsize="8515,7209">
            <v:group style="position:absolute;left:10;top:10;width:8495;height:2" coordorigin="10,10" coordsize="8495,2">
              <v:shape style="position:absolute;left:10;top:10;width:8495;height:2" coordorigin="10,10" coordsize="8495,0" path="m10,10l8505,10e" filled="false" stroked="true" strokeweight=".48pt" strokecolor="#000000">
                <v:path arrowok="t"/>
              </v:shape>
            </v:group>
            <v:group style="position:absolute;left:5;top:5;width:2;height:7199" coordorigin="5,5" coordsize="2,7199">
              <v:shape style="position:absolute;left:5;top:5;width:2;height:7199" coordorigin="5,5" coordsize="0,7199" path="m5,5l5,7203e" filled="false" stroked="true" strokeweight=".48pt" strokecolor="#000000">
                <v:path arrowok="t"/>
              </v:shape>
            </v:group>
            <v:group style="position:absolute;left:10;top:7199;width:8495;height:2" coordorigin="10,7199" coordsize="8495,2">
              <v:shape style="position:absolute;left:10;top:7199;width:8495;height:2" coordorigin="10,7199" coordsize="8495,0" path="m10,7199l8505,7199e" filled="false" stroked="true" strokeweight=".47998pt" strokecolor="#000000">
                <v:path arrowok="t"/>
              </v:shape>
            </v:group>
            <v:group style="position:absolute;left:8510;top:5;width:2;height:7199" coordorigin="8510,5" coordsize="2,7199">
              <v:shape style="position:absolute;left:8510;top:5;width:2;height:7199" coordorigin="8510,5" coordsize="0,7199" path="m8510,5l8510,7203e" filled="false" stroked="true" strokeweight=".47998pt" strokecolor="#000000">
                <v:path arrowok="t"/>
              </v:shape>
              <v:shape style="position:absolute;left:113;top:135;width:8327;height:6937" type="#_x0000_t75" stroked="false">
                <v:imagedata r:id="rId21" o:title=""/>
              </v:shape>
            </v:group>
          </v:group>
        </w:pict>
      </w:r>
      <w:r>
        <w:rPr>
          <w:rFonts w:ascii="Calibri" w:hAnsi="Calibri" w:cs="Calibri" w:eastAsia="Calibri"/>
          <w:position w:val="-143"/>
          <w:sz w:val="20"/>
          <w:szCs w:val="20"/>
        </w:rPr>
      </w:r>
    </w:p>
    <w:p>
      <w:pPr>
        <w:pStyle w:val="Heading3"/>
        <w:spacing w:line="240" w:lineRule="auto" w:before="52"/>
        <w:ind w:right="1358"/>
        <w:jc w:val="left"/>
        <w:rPr>
          <w:b w:val="0"/>
          <w:bCs w:val="0"/>
        </w:rPr>
      </w:pPr>
      <w:r>
        <w:rPr/>
        <w:t>Figure 2: Residual risk, 1980 </w:t>
      </w:r>
      <w:r>
        <w:rPr>
          <w:rFonts w:ascii="Calibri" w:hAnsi="Calibri" w:cs="Calibri" w:eastAsia="Calibri"/>
        </w:rPr>
        <w:t>– </w:t>
      </w:r>
      <w:r>
        <w:rPr/>
        <w:t>2050 (Barwon Otway Plan, p</w:t>
      </w:r>
      <w:r>
        <w:rPr>
          <w:spacing w:val="-23"/>
        </w:rPr>
        <w:t> </w:t>
      </w:r>
      <w:r>
        <w:rPr/>
        <w:t>31)</w:t>
      </w:r>
      <w:r>
        <w:rPr>
          <w:b w:val="0"/>
          <w:bCs w:val="0"/>
        </w:rPr>
      </w:r>
    </w:p>
    <w:p>
      <w:pPr>
        <w:spacing w:before="120"/>
        <w:ind w:left="946" w:right="135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Fire Operations - Barwon South West</w:t>
      </w:r>
      <w:r>
        <w:rPr>
          <w:rFonts w:ascii="Calibri"/>
          <w:i/>
          <w:spacing w:val="-14"/>
          <w:sz w:val="22"/>
        </w:rPr>
        <w:t> </w:t>
      </w:r>
      <w:r>
        <w:rPr>
          <w:rFonts w:ascii="Calibri"/>
          <w:i/>
          <w:sz w:val="22"/>
        </w:rPr>
        <w:t>Region</w:t>
      </w:r>
      <w:r>
        <w:rPr>
          <w:rFonts w:ascii="Calibri"/>
          <w:sz w:val="22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2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Specific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fuel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reduction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activities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regulated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FOP,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regional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plan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updated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annually,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which details the fuel reduction activities to be completed for the following three years.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w w:val="100"/>
          <w:sz w:val="22"/>
        </w:rPr>
        <w:t> </w:t>
      </w:r>
      <w:r>
        <w:rPr>
          <w:rFonts w:ascii="Calibri"/>
          <w:sz w:val="22"/>
        </w:rPr>
        <w:t>current Barwon South West Region FOP will regulate fuel reduction activities for 2014/15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2016/17.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2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FOPs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produced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each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bushfire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landscape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region.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They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outline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where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DELWP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Parks Victoria intend to carry out fuel reduction activities over the next three years,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weather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conditions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permitting.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32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Region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FOP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details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prevention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preparedness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works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be delivered in this region for the period 2014/15 to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2016/17.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2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Region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FOP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prepared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DELWP,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shaped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feedback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knowledge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local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communities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key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stakeholders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such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CFA,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local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councils,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forest managers and flora and fauna specialists, as well as key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industries.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18" w:after="0"/>
        <w:ind w:left="946" w:right="225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Barwon South West Region FOP identifies three types of fuel reduction activities,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have been and will continue to be undertaken over the three-year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cycle:</w:t>
      </w:r>
    </w:p>
    <w:p>
      <w:pPr>
        <w:pStyle w:val="BodyText"/>
        <w:spacing w:line="240" w:lineRule="auto" w:before="121"/>
        <w:ind w:left="1570" w:right="227" w:hanging="425"/>
        <w:jc w:val="both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5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</w:rPr>
        <w:t>planned  burns:  </w:t>
      </w:r>
      <w:r>
        <w:rPr/>
        <w:t>controlled  application  of  fire  during  periods  of  lower  fire  risk</w:t>
      </w:r>
      <w:r>
        <w:rPr>
          <w:spacing w:val="30"/>
        </w:rPr>
        <w:t> </w:t>
      </w:r>
      <w:r>
        <w:rPr/>
        <w:t>to</w:t>
      </w:r>
      <w:r>
        <w:rPr>
          <w:w w:val="100"/>
        </w:rPr>
        <w:t> </w:t>
      </w:r>
      <w:r>
        <w:rPr/>
        <w:t>achieve</w:t>
      </w:r>
      <w:r>
        <w:rPr>
          <w:spacing w:val="30"/>
        </w:rPr>
        <w:t> </w:t>
      </w:r>
      <w:r>
        <w:rPr/>
        <w:t>one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three</w:t>
      </w:r>
      <w:r>
        <w:rPr>
          <w:spacing w:val="30"/>
        </w:rPr>
        <w:t> </w:t>
      </w:r>
      <w:r>
        <w:rPr/>
        <w:t>main</w:t>
      </w:r>
      <w:r>
        <w:rPr>
          <w:spacing w:val="31"/>
        </w:rPr>
        <w:t> </w:t>
      </w:r>
      <w:r>
        <w:rPr/>
        <w:t>purposes</w:t>
      </w:r>
      <w:r>
        <w:rPr>
          <w:spacing w:val="3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33"/>
        </w:rPr>
        <w:t> </w:t>
      </w:r>
      <w:r>
        <w:rPr/>
        <w:t>fuel</w:t>
      </w:r>
      <w:r>
        <w:rPr>
          <w:spacing w:val="32"/>
        </w:rPr>
        <w:t> </w:t>
      </w:r>
      <w:r>
        <w:rPr/>
        <w:t>reduction,</w:t>
      </w:r>
      <w:r>
        <w:rPr>
          <w:spacing w:val="33"/>
        </w:rPr>
        <w:t> </w:t>
      </w:r>
      <w:r>
        <w:rPr/>
        <w:t>ecological</w:t>
      </w:r>
      <w:r>
        <w:rPr>
          <w:spacing w:val="29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and</w:t>
      </w:r>
      <w:r>
        <w:rPr>
          <w:w w:val="100"/>
        </w:rPr>
        <w:t> </w:t>
      </w:r>
      <w:r>
        <w:rPr/>
        <w:t>forest</w:t>
      </w:r>
      <w:r>
        <w:rPr>
          <w:spacing w:val="-5"/>
        </w:rPr>
        <w:t> </w:t>
      </w:r>
      <w:r>
        <w:rPr/>
        <w:t>regeneration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line="20" w:lineRule="exac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58pt;height:1pt;mso-position-horizontal-relative:char;mso-position-vertical-relative:line" coordorigin="0,0" coordsize="9160,20">
            <v:group style="position:absolute;left:10;top:10;width:9141;height:2" coordorigin="10,10" coordsize="9141,2">
              <v:shape style="position:absolute;left:10;top:10;width:9141;height:2" coordorigin="10,10" coordsize="9141,0" path="m10,10l9150,10e" filled="false" stroked="true" strokeweight=".96002pt" strokecolor="#4194d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exact"/>
        <w:rPr>
          <w:rFonts w:ascii="Calibri" w:hAnsi="Calibri" w:cs="Calibri" w:eastAsia="Calibri"/>
          <w:sz w:val="2"/>
          <w:szCs w:val="2"/>
        </w:rPr>
        <w:sectPr>
          <w:footerReference w:type="default" r:id="rId20"/>
          <w:pgSz w:w="11910" w:h="16840"/>
          <w:pgMar w:footer="1125" w:header="0" w:top="1480" w:bottom="1320" w:left="1260" w:right="1180"/>
          <w:pgNumType w:start="15"/>
        </w:sectPr>
      </w:pPr>
    </w:p>
    <w:p>
      <w:pPr>
        <w:pStyle w:val="BodyText"/>
        <w:spacing w:line="240" w:lineRule="auto" w:before="81"/>
        <w:ind w:left="1570" w:right="248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5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Calibri"/>
          <w:b/>
        </w:rPr>
        <w:t>works program: </w:t>
      </w:r>
      <w:r>
        <w:rPr/>
        <w:t>activities required to support the planned burning program, such  </w:t>
      </w:r>
      <w:r>
        <w:rPr>
          <w:spacing w:val="1"/>
        </w:rPr>
        <w:t> </w:t>
      </w:r>
      <w:r>
        <w:rPr/>
        <w:t>as</w:t>
      </w:r>
      <w:r>
        <w:rPr>
          <w:w w:val="100"/>
        </w:rPr>
        <w:t> </w:t>
      </w:r>
      <w:r>
        <w:rPr/>
        <w:t>the maintenance and construction of fire control lines, fuel breaks, fire</w:t>
      </w:r>
      <w:r>
        <w:rPr>
          <w:spacing w:val="35"/>
        </w:rPr>
        <w:t> </w:t>
      </w:r>
      <w:r>
        <w:rPr/>
        <w:t>infrastructure</w:t>
      </w:r>
      <w:r>
        <w:rPr>
          <w:w w:val="100"/>
        </w:rPr>
        <w:t> </w:t>
      </w:r>
      <w:r>
        <w:rPr/>
        <w:t>and other fuel management</w:t>
      </w:r>
      <w:r>
        <w:rPr>
          <w:spacing w:val="-4"/>
        </w:rPr>
        <w:t> </w:t>
      </w:r>
      <w:r>
        <w:rPr/>
        <w:t>activities</w:t>
      </w:r>
    </w:p>
    <w:p>
      <w:pPr>
        <w:pStyle w:val="BodyText"/>
        <w:spacing w:line="240" w:lineRule="auto" w:before="121"/>
        <w:ind w:left="1570" w:right="247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5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Calibri"/>
          <w:b/>
        </w:rPr>
        <w:t>strategic fuel breaks: </w:t>
      </w:r>
      <w:r>
        <w:rPr/>
        <w:t>establishing and maintaining a network of strategic fuel</w:t>
      </w:r>
      <w:r>
        <w:rPr>
          <w:spacing w:val="16"/>
        </w:rPr>
        <w:t> </w:t>
      </w:r>
      <w:r>
        <w:rPr/>
        <w:t>breaks,</w:t>
      </w:r>
      <w:r>
        <w:rPr>
          <w:w w:val="100"/>
        </w:rPr>
        <w:t> </w:t>
      </w:r>
      <w:r>
        <w:rPr/>
        <w:t>which are strips of land where vegetation has been modified to reduce the amount</w:t>
      </w:r>
      <w:r>
        <w:rPr>
          <w:spacing w:val="-12"/>
        </w:rPr>
        <w:t> </w:t>
      </w:r>
      <w:r>
        <w:rPr/>
        <w:t>of</w:t>
      </w:r>
      <w:r>
        <w:rPr>
          <w:w w:val="100"/>
        </w:rPr>
        <w:t> </w:t>
      </w:r>
      <w:r>
        <w:rPr/>
        <w:t>fuel available to burn during</w:t>
      </w:r>
      <w:r>
        <w:rPr>
          <w:spacing w:val="-8"/>
        </w:rPr>
        <w:t> </w:t>
      </w:r>
      <w:r>
        <w:rPr/>
        <w:t>bushfires.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planned burning schedule for the Surf Coast Shire (which includes the Heath) for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next three years and some of the response resources in the region are set out in </w:t>
      </w:r>
      <w:r>
        <w:rPr>
          <w:rFonts w:ascii="Calibri"/>
          <w:b/>
          <w:sz w:val="22"/>
        </w:rPr>
        <w:t>Map</w:t>
      </w:r>
      <w:r>
        <w:rPr>
          <w:rFonts w:ascii="Calibri"/>
          <w:b/>
          <w:spacing w:val="-21"/>
          <w:sz w:val="22"/>
        </w:rPr>
        <w:t> </w:t>
      </w:r>
      <w:r>
        <w:rPr>
          <w:rFonts w:ascii="Calibri"/>
          <w:b/>
          <w:sz w:val="22"/>
        </w:rPr>
        <w:t>2</w:t>
      </w:r>
      <w:r>
        <w:rPr>
          <w:rFonts w:ascii="Calibri"/>
          <w:sz w:val="22"/>
        </w:rPr>
        <w:t>.</w:t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spacing w:line="5375" w:lineRule="exact"/>
        <w:ind w:left="88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07"/>
          <w:sz w:val="20"/>
          <w:szCs w:val="20"/>
        </w:rPr>
        <w:pict>
          <v:group style="width:424.75pt;height:268.75pt;mso-position-horizontal-relative:char;mso-position-vertical-relative:line" coordorigin="0,0" coordsize="8495,5375">
            <v:shape style="position:absolute;left:10;top:10;width:8475;height:5355" type="#_x0000_t75" stroked="false">
              <v:imagedata r:id="rId22" o:title=""/>
            </v:shape>
            <v:group style="position:absolute;left:5;top:5;width:8485;height:5365" coordorigin="5,5" coordsize="8485,5365">
              <v:shape style="position:absolute;left:5;top:5;width:8485;height:5365" coordorigin="5,5" coordsize="8485,5365" path="m5,5370l8490,5370,8490,5,5,5,5,5370x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-107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859" w:right="0"/>
        <w:jc w:val="left"/>
        <w:rPr>
          <w:b w:val="0"/>
          <w:bCs w:val="0"/>
        </w:rPr>
      </w:pPr>
      <w:r>
        <w:rPr/>
        <w:t>Map 2: Map of the planned burning schedule for the Surf Coast Shire (Note: schedule is</w:t>
      </w:r>
      <w:r>
        <w:rPr>
          <w:spacing w:val="22"/>
        </w:rPr>
        <w:t> </w:t>
      </w:r>
      <w:r>
        <w:rPr/>
        <w:t>not</w:t>
      </w:r>
      <w:r>
        <w:rPr>
          <w:w w:val="100"/>
        </w:rPr>
        <w:t> </w:t>
      </w:r>
      <w:r>
        <w:rPr/>
        <w:t>static and may change as a result of bushfire risk</w:t>
      </w:r>
      <w:r>
        <w:rPr>
          <w:spacing w:val="-18"/>
        </w:rPr>
        <w:t> </w:t>
      </w:r>
      <w:r>
        <w:rPr/>
        <w:t>analysis)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18" w:after="0"/>
        <w:ind w:left="946" w:right="2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2014/15,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planned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burn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232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hectares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completed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within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Heath.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noted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FOP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static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document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change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result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bushfire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analysis.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_TOC_250004" w:id="13"/>
      <w:r>
        <w:rPr/>
        <w:t>Preparedness</w:t>
      </w:r>
      <w:bookmarkEnd w:id="13"/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0" w:after="0"/>
        <w:ind w:left="946" w:right="251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Preparedness activities play an important role in managing emergencies.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Preparedness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activities, including scenario planning, ensure response activities can occur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quickly,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efficiently and effectively in response to emerging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threats.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253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As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outlined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Code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Practice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Bushfire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Management,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DELWP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through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preparedness activities and risk analysis aims to achieve the following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outcomes:</w:t>
      </w:r>
    </w:p>
    <w:p>
      <w:pPr>
        <w:pStyle w:val="BodyText"/>
        <w:spacing w:line="240" w:lineRule="auto" w:before="121"/>
        <w:ind w:left="1570" w:right="247" w:hanging="425"/>
        <w:jc w:val="both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5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effective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appropriate</w:t>
      </w:r>
      <w:r>
        <w:rPr>
          <w:spacing w:val="29"/>
        </w:rPr>
        <w:t> </w:t>
      </w:r>
      <w:r>
        <w:rPr/>
        <w:t>allocation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staff</w:t>
      </w:r>
      <w:r>
        <w:rPr>
          <w:spacing w:val="31"/>
        </w:rPr>
        <w:t> </w:t>
      </w:r>
      <w:r>
        <w:rPr/>
        <w:t>capabilities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bushfire</w:t>
      </w:r>
      <w:r>
        <w:rPr>
          <w:w w:val="100"/>
        </w:rPr>
        <w:t> </w:t>
      </w:r>
      <w:r>
        <w:rPr/>
        <w:t>management</w:t>
      </w:r>
    </w:p>
    <w:p>
      <w:pPr>
        <w:pStyle w:val="BodyText"/>
        <w:spacing w:line="240" w:lineRule="auto" w:before="121"/>
        <w:ind w:left="1570" w:right="247" w:hanging="425"/>
        <w:jc w:val="both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6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effective  and appropriate allocation of non-staff  capabilities (including   </w:t>
      </w:r>
      <w:r>
        <w:rPr>
          <w:spacing w:val="26"/>
        </w:rPr>
        <w:t> </w:t>
      </w:r>
      <w:r>
        <w:rPr/>
        <w:t>equipment,</w:t>
      </w:r>
      <w:r>
        <w:rPr>
          <w:w w:val="100"/>
        </w:rPr>
        <w:t> </w:t>
      </w:r>
      <w:r>
        <w:rPr/>
        <w:t>plant and vehicles) and resources  for bushfire</w:t>
      </w:r>
      <w:r>
        <w:rPr>
          <w:spacing w:val="-14"/>
        </w:rPr>
        <w:t> </w:t>
      </w:r>
      <w:r>
        <w:rPr/>
        <w:t>management</w:t>
      </w:r>
    </w:p>
    <w:p>
      <w:pPr>
        <w:pStyle w:val="BodyText"/>
        <w:spacing w:line="240" w:lineRule="auto" w:before="118"/>
        <w:ind w:left="1145" w:right="0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6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improved interoperability with other fire and emergency management</w:t>
      </w:r>
      <w:r>
        <w:rPr>
          <w:spacing w:val="-15"/>
        </w:rPr>
        <w:t> </w:t>
      </w:r>
      <w:r>
        <w:rPr/>
        <w:t>agencies.</w:t>
      </w:r>
    </w:p>
    <w:p>
      <w:pPr>
        <w:spacing w:after="0" w:line="240" w:lineRule="auto"/>
        <w:jc w:val="left"/>
        <w:sectPr>
          <w:pgSz w:w="11910" w:h="16840"/>
          <w:pgMar w:header="0" w:footer="1125" w:top="1480" w:bottom="1320" w:left="1260" w:right="1160"/>
        </w:sect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40" w:after="0"/>
        <w:ind w:left="946" w:right="414" w:hanging="7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These outcomes are achieved through the following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strategies:</w:t>
      </w:r>
    </w:p>
    <w:p>
      <w:pPr>
        <w:pStyle w:val="BodyText"/>
        <w:spacing w:line="240" w:lineRule="auto" w:before="121"/>
        <w:ind w:left="1570" w:right="150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6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developing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maintaining</w:t>
      </w:r>
      <w:r>
        <w:rPr>
          <w:spacing w:val="31"/>
        </w:rPr>
        <w:t> </w:t>
      </w:r>
      <w:r>
        <w:rPr/>
        <w:t>staff</w:t>
      </w:r>
      <w:r>
        <w:rPr>
          <w:spacing w:val="32"/>
        </w:rPr>
        <w:t> </w:t>
      </w:r>
      <w:r>
        <w:rPr/>
        <w:t>capabilities,</w:t>
      </w:r>
      <w:r>
        <w:rPr>
          <w:spacing w:val="31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readiness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bushfire</w:t>
      </w:r>
      <w:r>
        <w:rPr>
          <w:w w:val="100"/>
        </w:rPr>
        <w:t> </w:t>
      </w:r>
      <w:r>
        <w:rPr/>
        <w:t>response according to existing and forecast bushfire</w:t>
      </w:r>
      <w:r>
        <w:rPr>
          <w:spacing w:val="-16"/>
        </w:rPr>
        <w:t> </w:t>
      </w:r>
      <w:r>
        <w:rPr/>
        <w:t>risk</w:t>
      </w:r>
    </w:p>
    <w:p>
      <w:pPr>
        <w:pStyle w:val="BodyText"/>
        <w:spacing w:line="240" w:lineRule="auto" w:before="121"/>
        <w:ind w:left="1570" w:right="148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6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developing  and  maintaining  non-staff  capabilities,  resources  and  readiness      </w:t>
      </w:r>
      <w:r>
        <w:rPr>
          <w:spacing w:val="22"/>
        </w:rPr>
        <w:t> </w:t>
      </w:r>
      <w:r>
        <w:rPr/>
        <w:t>for</w:t>
      </w:r>
      <w:r>
        <w:rPr>
          <w:w w:val="100"/>
        </w:rPr>
        <w:t> </w:t>
      </w:r>
      <w:r>
        <w:rPr/>
        <w:t>bushfire response according to existing and forecast bushfire</w:t>
      </w:r>
      <w:r>
        <w:rPr>
          <w:spacing w:val="-13"/>
        </w:rPr>
        <w:t> </w:t>
      </w:r>
      <w:r>
        <w:rPr/>
        <w:t>risk</w:t>
      </w:r>
    </w:p>
    <w:p>
      <w:pPr>
        <w:pStyle w:val="BodyText"/>
        <w:spacing w:line="240" w:lineRule="auto" w:before="118"/>
        <w:ind w:left="1570" w:right="148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6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developing  and  implementing  robust  and  functional  fire  danger  and  risk</w:t>
      </w:r>
      <w:r>
        <w:rPr>
          <w:spacing w:val="34"/>
        </w:rPr>
        <w:t> </w:t>
      </w:r>
      <w:r>
        <w:rPr/>
        <w:t>analysis</w:t>
      </w:r>
      <w:r>
        <w:rPr>
          <w:w w:val="100"/>
        </w:rPr>
        <w:t> </w:t>
      </w:r>
      <w:r>
        <w:rPr/>
        <w:t>products and systems, which describe existing and forecast bushfire risk across</w:t>
      </w:r>
      <w:r>
        <w:rPr>
          <w:w w:val="100"/>
        </w:rPr>
        <w:t> </w:t>
      </w:r>
      <w:r>
        <w:rPr/>
        <w:t>Victoria at daily, weekly and seasonal</w:t>
      </w:r>
      <w:r>
        <w:rPr>
          <w:spacing w:val="-9"/>
        </w:rPr>
        <w:t> </w:t>
      </w:r>
      <w:r>
        <w:rPr/>
        <w:t>levels</w:t>
      </w:r>
    </w:p>
    <w:p>
      <w:pPr>
        <w:pStyle w:val="BodyText"/>
        <w:spacing w:line="240" w:lineRule="auto" w:before="121"/>
        <w:ind w:left="1570" w:right="151" w:hanging="425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7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developing  strategies  and  joint  partnership  arrangements  that  assist </w:t>
      </w:r>
      <w:r>
        <w:rPr>
          <w:spacing w:val="37"/>
        </w:rPr>
        <w:t> </w:t>
      </w:r>
      <w:r>
        <w:rPr/>
        <w:t>interagency</w:t>
      </w:r>
      <w:r>
        <w:rPr>
          <w:w w:val="100"/>
        </w:rPr>
        <w:t> </w:t>
      </w:r>
      <w:r>
        <w:rPr/>
        <w:t>interoperability.</w:t>
      </w:r>
    </w:p>
    <w:p>
      <w:pPr>
        <w:spacing w:before="120"/>
        <w:ind w:left="946" w:right="41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PHOENIX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z w:val="22"/>
        </w:rPr>
        <w:t>Rapidfire</w:t>
      </w:r>
      <w:r>
        <w:rPr>
          <w:rFonts w:ascii="Calibri"/>
          <w:sz w:val="22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PHOENIX Rapidfire bushfire simulation software was developed by the University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Melbourne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Bushfire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Co-operative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Research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Centre,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together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former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DEPI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(now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DELWP).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PHOENIX Rapidfire </w:t>
      </w:r>
      <w:r>
        <w:rPr>
          <w:rFonts w:ascii="Calibri" w:hAnsi="Calibri" w:cs="Calibri" w:eastAsia="Calibri"/>
          <w:sz w:val="22"/>
          <w:szCs w:val="22"/>
        </w:rPr>
        <w:t>has enhanced Victoria’s preparedness </w:t>
      </w:r>
      <w:r>
        <w:rPr>
          <w:rFonts w:ascii="Calibri" w:hAnsi="Calibri" w:cs="Calibri" w:eastAsia="Calibri"/>
          <w:sz w:val="22"/>
          <w:szCs w:val="22"/>
        </w:rPr>
        <w:t>and response to bushfires. </w:t>
      </w:r>
      <w:r>
        <w:rPr>
          <w:rFonts w:ascii="Calibri" w:hAnsi="Calibri" w:cs="Calibri" w:eastAsia="Calibri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It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allows DELWP to simulate the spread, behaviour and intensity of bushfire by predicting</w:t>
      </w:r>
      <w:r>
        <w:rPr>
          <w:rFonts w:ascii="Calibri" w:hAnsi="Calibri" w:cs="Calibri" w:eastAsia="Calibri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how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bushfires will spread from a range of ignition points based on facts such as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vegetation,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weather and terrain. Comparisons between PHOENIX Rapidfire simulations and actual</w:t>
      </w:r>
      <w:r>
        <w:rPr>
          <w:rFonts w:ascii="Calibri" w:hAnsi="Calibri" w:cs="Calibri" w:eastAsia="Calibri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past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events show that the software reasonably accurately calculates bushfire spread</w:t>
      </w:r>
      <w:r>
        <w:rPr>
          <w:rFonts w:ascii="Calibri" w:hAnsi="Calibri" w:cs="Calibri" w:eastAsia="Calibri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intensity.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PHOENIX Rapidfire simulations are based on worst-case bushfire weather, where the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Forest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Fire Danger Index ratings are extreme and catastrophic. These ratings are based 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dryness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(rainfall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evaporation),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wind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speed,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temperature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humidity,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mirror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weather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that Victoria experienced during the Ash Wednesday and Black Saturday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bushfires.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DELWP has undertaken PHOENIX Rapidfire modelling for bushfires affecting the Heath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Anglesea Coal Mine. These simulations, shown in </w:t>
      </w:r>
      <w:r>
        <w:rPr>
          <w:rFonts w:ascii="Calibri"/>
          <w:b/>
          <w:sz w:val="22"/>
        </w:rPr>
        <w:t>Figure 3</w:t>
      </w:r>
      <w:r>
        <w:rPr>
          <w:rFonts w:ascii="Calibri"/>
          <w:sz w:val="22"/>
        </w:rPr>
        <w:t>, demonstrate that residual risk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 Anglesea Coal Mine and Anglesea Power Station was significantly reduced after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Ash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Wednesday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bushfire.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Between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1983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late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2000s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residual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increased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significantly.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Since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2008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targeted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planned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burn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program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been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implemented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around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 Anglesea Coal Mine and Anglesea Power Station resulting in a significant reduction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bushfire risk.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decrease in residual risk to the Anglesea Coal Mine from 2008 onwards reflects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reduction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total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number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modelled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fires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impacting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mine,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result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targeted planned burn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program.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Figure 3 </w:t>
      </w:r>
      <w:r>
        <w:rPr>
          <w:rFonts w:ascii="Calibri" w:hAnsi="Calibri" w:cs="Calibri" w:eastAsia="Calibri"/>
          <w:sz w:val="22"/>
          <w:szCs w:val="22"/>
        </w:rPr>
        <w:t>uses a single weather scenario for all bushfire simulations, which has been</w:t>
      </w:r>
      <w:r>
        <w:rPr>
          <w:rFonts w:ascii="Calibri" w:hAnsi="Calibri" w:cs="Calibri" w:eastAsia="Calibri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designed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 represent a typical ‘worst case scenario’ </w:t>
      </w:r>
      <w:r>
        <w:rPr>
          <w:rFonts w:ascii="Calibri" w:hAnsi="Calibri" w:cs="Calibri" w:eastAsia="Calibri"/>
          <w:sz w:val="22"/>
          <w:szCs w:val="22"/>
        </w:rPr>
        <w:t>fire day in Victoria. This restricts modelling</w:t>
      </w:r>
      <w:r>
        <w:rPr>
          <w:rFonts w:ascii="Calibri" w:hAnsi="Calibri" w:cs="Calibri" w:eastAsia="Calibri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analysis of extreme, single-day bushfires (historically, the fires causing the greatest losses</w:t>
      </w:r>
      <w:r>
        <w:rPr>
          <w:rFonts w:ascii="Calibri" w:hAnsi="Calibri" w:cs="Calibri" w:eastAsia="Calibri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life and property in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Victoria).</w:t>
      </w:r>
    </w:p>
    <w:p>
      <w:pPr>
        <w:spacing w:after="0" w:line="240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5" w:top="1520" w:bottom="1320" w:left="1260" w:right="1260"/>
        </w:sectPr>
      </w:pPr>
    </w:p>
    <w:p>
      <w:pPr>
        <w:spacing w:line="240" w:lineRule="auto" w:before="10"/>
        <w:rPr>
          <w:rFonts w:ascii="Calibri" w:hAnsi="Calibri" w:cs="Calibri" w:eastAsia="Calibri"/>
          <w:sz w:val="6"/>
          <w:szCs w:val="6"/>
        </w:rPr>
      </w:pPr>
    </w:p>
    <w:p>
      <w:pPr>
        <w:spacing w:line="4878" w:lineRule="exact"/>
        <w:ind w:left="96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97"/>
          <w:sz w:val="20"/>
          <w:szCs w:val="20"/>
        </w:rPr>
        <w:pict>
          <v:group style="width:408.6pt;height:243.9pt;mso-position-horizontal-relative:char;mso-position-vertical-relative:line" coordorigin="0,0" coordsize="8172,4878">
            <v:shape style="position:absolute;left:10;top:10;width:8152;height:4858" type="#_x0000_t75" stroked="false">
              <v:imagedata r:id="rId23" o:title=""/>
            </v:shape>
            <v:group style="position:absolute;left:5;top:5;width:8162;height:4868" coordorigin="5,5" coordsize="8162,4868">
              <v:shape style="position:absolute;left:5;top:5;width:8162;height:4868" coordorigin="5,5" coordsize="8162,4868" path="m5,4873l8167,4873,8167,5,5,5,5,4873x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-97"/>
          <w:sz w:val="20"/>
          <w:szCs w:val="20"/>
        </w:rPr>
      </w:r>
    </w:p>
    <w:p>
      <w:pPr>
        <w:spacing w:line="240" w:lineRule="auto" w:before="10"/>
        <w:rPr>
          <w:rFonts w:ascii="Calibri" w:hAnsi="Calibri" w:cs="Calibri" w:eastAsia="Calibri"/>
          <w:sz w:val="6"/>
          <w:szCs w:val="6"/>
        </w:rPr>
      </w:pPr>
    </w:p>
    <w:p>
      <w:pPr>
        <w:pStyle w:val="Heading3"/>
        <w:spacing w:line="240" w:lineRule="auto" w:before="56"/>
        <w:ind w:right="414"/>
        <w:jc w:val="left"/>
        <w:rPr>
          <w:b w:val="0"/>
          <w:bCs w:val="0"/>
        </w:rPr>
      </w:pPr>
      <w:r>
        <w:rPr/>
        <w:t>Figure 3: Residual risk profile (Barwon Otway Plan, p</w:t>
      </w:r>
      <w:r>
        <w:rPr>
          <w:spacing w:val="-27"/>
        </w:rPr>
        <w:t> </w:t>
      </w:r>
      <w:r>
        <w:rPr/>
        <w:t>13)</w:t>
      </w:r>
      <w:r>
        <w:rPr>
          <w:b w:val="0"/>
        </w:rPr>
      </w:r>
    </w:p>
    <w:p>
      <w:pPr>
        <w:spacing w:before="120"/>
        <w:ind w:left="946" w:right="41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Fire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Lookouts</w:t>
      </w:r>
      <w:r>
        <w:rPr>
          <w:rFonts w:ascii="Calibri"/>
          <w:sz w:val="22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DELWP </w:t>
      </w:r>
      <w:r>
        <w:rPr>
          <w:rFonts w:ascii="Calibri" w:hAnsi="Calibri" w:cs="Calibri" w:eastAsia="Calibri"/>
          <w:sz w:val="22"/>
          <w:szCs w:val="22"/>
        </w:rPr>
        <w:t>and Parks Victoria’s preparedness for bushfire risk in the Barwon South West</w:t>
      </w:r>
      <w:r>
        <w:rPr>
          <w:rFonts w:ascii="Calibri" w:hAnsi="Calibri" w:cs="Calibri" w:eastAsia="Calibri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Region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is increased through the use of manned fire lookout towers and air observer flights on</w:t>
      </w:r>
      <w:r>
        <w:rPr>
          <w:rFonts w:ascii="Calibri" w:hAnsi="Calibri" w:cs="Calibri" w:eastAsia="Calibri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high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fire danger days during the summer season. These observation points allow for</w:t>
      </w:r>
      <w:r>
        <w:rPr>
          <w:rFonts w:ascii="Calibri" w:hAnsi="Calibri" w:cs="Calibri" w:eastAsia="Calibri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quick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identification of recent bushfire ignitions, and expeditious response activities to</w:t>
      </w:r>
      <w:r>
        <w:rPr>
          <w:rFonts w:ascii="Calibri" w:hAnsi="Calibri" w:cs="Calibri" w:eastAsia="Calibri"/>
          <w:spacing w:val="-2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occur.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6" w:lineRule="exact" w:before="117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There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eight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lookouts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located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Region.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listed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below:</w:t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8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5215"/>
      </w:tblGrid>
      <w:tr>
        <w:trPr>
          <w:trHeight w:val="558" w:hRule="exact"/>
        </w:trPr>
        <w:tc>
          <w:tcPr>
            <w:tcW w:w="3149" w:type="dxa"/>
            <w:tcBorders>
              <w:top w:val="single" w:sz="17" w:space="0" w:color="1F487C"/>
              <w:left w:val="single" w:sz="17" w:space="0" w:color="1F487C"/>
              <w:bottom w:val="single" w:sz="17" w:space="0" w:color="1F487C"/>
              <w:right w:val="nil" w:sz="6" w:space="0" w:color="auto"/>
            </w:tcBorders>
            <w:shd w:val="clear" w:color="auto" w:fill="DBE4F0"/>
          </w:tcPr>
          <w:p>
            <w:pPr>
              <w:pStyle w:val="TableParagraph"/>
              <w:spacing w:line="240" w:lineRule="auto" w:before="118"/>
              <w:ind w:left="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Otway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</w:p>
        </w:tc>
        <w:tc>
          <w:tcPr>
            <w:tcW w:w="5215" w:type="dxa"/>
            <w:tcBorders>
              <w:top w:val="single" w:sz="17" w:space="0" w:color="1F487C"/>
              <w:left w:val="nil" w:sz="6" w:space="0" w:color="auto"/>
              <w:bottom w:val="single" w:sz="18" w:space="0" w:color="1F487C"/>
              <w:right w:val="single" w:sz="17" w:space="0" w:color="1F487C"/>
            </w:tcBorders>
            <w:shd w:val="clear" w:color="auto" w:fill="DBE4F0"/>
          </w:tcPr>
          <w:p>
            <w:pPr>
              <w:pStyle w:val="TableParagraph"/>
              <w:spacing w:line="240" w:lineRule="auto" w:before="118"/>
              <w:ind w:left="11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Far South West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</w:p>
        </w:tc>
      </w:tr>
      <w:tr>
        <w:trPr>
          <w:trHeight w:val="2114" w:hRule="exact"/>
        </w:trPr>
        <w:tc>
          <w:tcPr>
            <w:tcW w:w="3149" w:type="dxa"/>
            <w:tcBorders>
              <w:top w:val="single" w:sz="17" w:space="0" w:color="1F487C"/>
              <w:left w:val="single" w:sz="17" w:space="0" w:color="1F487C"/>
              <w:bottom w:val="single" w:sz="17" w:space="0" w:color="1F487C"/>
              <w:right w:val="nil" w:sz="6" w:space="0" w:color="auto"/>
            </w:tcBorders>
          </w:tcPr>
          <w:p>
            <w:pPr>
              <w:pStyle w:val="TableParagraph"/>
              <w:spacing w:line="348" w:lineRule="auto" w:before="124"/>
              <w:ind w:left="86" w:right="113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Peters Hill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(Anglesea)</w:t>
            </w:r>
            <w:r>
              <w:rPr>
                <w:rFonts w:ascii="Calibri"/>
                <w:spacing w:val="-1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Crowes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(Gellibrand)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Mt Crowley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(Lorne)</w:t>
            </w:r>
          </w:p>
        </w:tc>
        <w:tc>
          <w:tcPr>
            <w:tcW w:w="5215" w:type="dxa"/>
            <w:tcBorders>
              <w:top w:val="single" w:sz="18" w:space="0" w:color="1F487C"/>
              <w:left w:val="nil" w:sz="6" w:space="0" w:color="auto"/>
              <w:bottom w:val="single" w:sz="17" w:space="0" w:color="1F487C"/>
              <w:right w:val="single" w:sz="17" w:space="0" w:color="1F487C"/>
            </w:tcBorders>
          </w:tcPr>
          <w:p>
            <w:pPr>
              <w:pStyle w:val="TableParagraph"/>
              <w:spacing w:line="348" w:lineRule="auto" w:before="123"/>
              <w:ind w:left="1140" w:right="20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Corndale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(Casterton)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Chetwynd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(Casterton)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Balrock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(Dartmoor)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Annya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(Heywood)</w:t>
            </w:r>
          </w:p>
          <w:p>
            <w:pPr>
              <w:pStyle w:val="TableParagraph"/>
              <w:spacing w:line="268" w:lineRule="exact"/>
              <w:ind w:left="11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Mt Clay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(Heywood)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89" w:after="0"/>
        <w:ind w:left="946" w:right="150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Fire lookouts are equipped with radios, telephones, high powered binoculars and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map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tables, with sight bearings for major features marked out. The lookout at Peters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Hill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overlooks the Heath, with additional coverage from the Mount Cowley fire lookout and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CFA tower at Mount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Duneed.</w:t>
      </w:r>
    </w:p>
    <w:p>
      <w:pPr>
        <w:spacing w:before="120"/>
        <w:ind w:left="946" w:right="41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Resourcing for the Barwon South West</w:t>
      </w:r>
      <w:r>
        <w:rPr>
          <w:rFonts w:ascii="Calibri"/>
          <w:i/>
          <w:spacing w:val="-16"/>
          <w:sz w:val="22"/>
        </w:rPr>
        <w:t> </w:t>
      </w:r>
      <w:r>
        <w:rPr>
          <w:rFonts w:ascii="Calibri"/>
          <w:i/>
          <w:sz w:val="22"/>
        </w:rPr>
        <w:t>Region</w:t>
      </w:r>
      <w:r>
        <w:rPr>
          <w:rFonts w:ascii="Calibri"/>
          <w:sz w:val="22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Plan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outlines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resources,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both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personnel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equipment, that will be available for fire response in the Barwon South West Region for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2015/16 summer season. Should an incident within the region be of such a magnitude as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escalate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coordination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State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level,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additional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resources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made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available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activities.</w:t>
      </w:r>
    </w:p>
    <w:p>
      <w:pPr>
        <w:spacing w:after="0" w:line="240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5" w:top="1500" w:bottom="1320" w:left="1260" w:right="1260"/>
        </w:sect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4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DELWP and Parks Victoria employ a permanent firefighting workforce. During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summer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seasons this workforce is supplemented with an annual recruitment of Project Fire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Fighters.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There will be 80 seasonal firefighters recruited by DELWP for the Barwon South West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Region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for the 2015/16 summer season. This recruitment is detailed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below.</w:t>
      </w:r>
    </w:p>
    <w:p>
      <w:pPr>
        <w:spacing w:line="240" w:lineRule="auto" w:before="1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8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1738"/>
        <w:gridCol w:w="1932"/>
        <w:gridCol w:w="1819"/>
        <w:gridCol w:w="1116"/>
      </w:tblGrid>
      <w:tr>
        <w:trPr>
          <w:trHeight w:val="1183" w:hRule="exact"/>
        </w:trPr>
        <w:tc>
          <w:tcPr>
            <w:tcW w:w="1765" w:type="dxa"/>
            <w:tcBorders>
              <w:top w:val="single" w:sz="17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  <w:shd w:val="clear" w:color="auto" w:fill="DBE4F0"/>
          </w:tcPr>
          <w:p>
            <w:pPr>
              <w:pStyle w:val="TableParagraph"/>
              <w:spacing w:line="240" w:lineRule="auto" w:before="119"/>
              <w:ind w:left="4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Location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38" w:type="dxa"/>
            <w:tcBorders>
              <w:top w:val="single" w:sz="17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  <w:shd w:val="clear" w:color="auto" w:fill="DBE4F0"/>
          </w:tcPr>
          <w:p>
            <w:pPr>
              <w:pStyle w:val="TableParagraph"/>
              <w:spacing w:line="345" w:lineRule="auto" w:before="119"/>
              <w:ind w:left="369" w:right="176" w:hanging="16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October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May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(34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Weeks)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932" w:type="dxa"/>
            <w:tcBorders>
              <w:top w:val="single" w:sz="17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  <w:shd w:val="clear" w:color="auto" w:fill="DBE4F0"/>
          </w:tcPr>
          <w:p>
            <w:pPr>
              <w:pStyle w:val="TableParagraph"/>
              <w:spacing w:line="345" w:lineRule="auto" w:before="119"/>
              <w:ind w:left="471" w:right="138" w:hanging="2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November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April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(26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Weeks)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single" w:sz="17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  <w:shd w:val="clear" w:color="auto" w:fill="DBE4F0"/>
          </w:tcPr>
          <w:p>
            <w:pPr>
              <w:pStyle w:val="TableParagraph"/>
              <w:spacing w:line="345" w:lineRule="auto" w:before="119"/>
              <w:ind w:left="383" w:right="143" w:hanging="24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January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March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(18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Weeks)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116" w:type="dxa"/>
            <w:tcBorders>
              <w:top w:val="single" w:sz="17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  <w:shd w:val="clear" w:color="auto" w:fill="DBE4F0"/>
          </w:tcPr>
          <w:p>
            <w:pPr>
              <w:pStyle w:val="TableParagraph"/>
              <w:spacing w:line="240" w:lineRule="auto" w:before="119"/>
              <w:ind w:left="3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87" w:hRule="exact"/>
        </w:trPr>
        <w:tc>
          <w:tcPr>
            <w:tcW w:w="1765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44" w:right="20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Far South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West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District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3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1932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181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111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28" w:hRule="exact"/>
        </w:trPr>
        <w:tc>
          <w:tcPr>
            <w:tcW w:w="1765" w:type="dxa"/>
            <w:tcBorders>
              <w:top w:val="single" w:sz="4" w:space="0" w:color="1F487C"/>
              <w:left w:val="single" w:sz="17" w:space="0" w:color="1F487C"/>
              <w:bottom w:val="single" w:sz="12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4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Otway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District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38" w:type="dxa"/>
            <w:tcBorders>
              <w:top w:val="single" w:sz="4" w:space="0" w:color="1F487C"/>
              <w:left w:val="nil" w:sz="6" w:space="0" w:color="auto"/>
              <w:bottom w:val="single" w:sz="12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932" w:type="dxa"/>
            <w:tcBorders>
              <w:top w:val="single" w:sz="4" w:space="0" w:color="1F487C"/>
              <w:left w:val="nil" w:sz="6" w:space="0" w:color="auto"/>
              <w:bottom w:val="single" w:sz="12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819" w:type="dxa"/>
            <w:tcBorders>
              <w:top w:val="single" w:sz="4" w:space="0" w:color="1F487C"/>
              <w:left w:val="nil" w:sz="6" w:space="0" w:color="auto"/>
              <w:bottom w:val="single" w:sz="12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116" w:type="dxa"/>
            <w:tcBorders>
              <w:top w:val="single" w:sz="4" w:space="0" w:color="1F487C"/>
              <w:left w:val="single" w:sz="17" w:space="0" w:color="1F487C"/>
              <w:bottom w:val="single" w:sz="12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1765" w:type="dxa"/>
            <w:tcBorders>
              <w:top w:val="single" w:sz="12" w:space="0" w:color="1F487C"/>
              <w:left w:val="single" w:sz="17" w:space="0" w:color="1F487C"/>
              <w:bottom w:val="single" w:sz="17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Region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totals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38" w:type="dxa"/>
            <w:tcBorders>
              <w:top w:val="single" w:sz="12" w:space="0" w:color="1F487C"/>
              <w:left w:val="nil" w:sz="6" w:space="0" w:color="auto"/>
              <w:bottom w:val="single" w:sz="17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32" w:type="dxa"/>
            <w:tcBorders>
              <w:top w:val="single" w:sz="12" w:space="0" w:color="1F487C"/>
              <w:left w:val="nil" w:sz="6" w:space="0" w:color="auto"/>
              <w:bottom w:val="single" w:sz="17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19" w:type="dxa"/>
            <w:tcBorders>
              <w:top w:val="single" w:sz="12" w:space="0" w:color="1F487C"/>
              <w:left w:val="nil" w:sz="6" w:space="0" w:color="auto"/>
              <w:bottom w:val="single" w:sz="17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16" w:type="dxa"/>
            <w:tcBorders>
              <w:top w:val="single" w:sz="12" w:space="0" w:color="1F487C"/>
              <w:left w:val="single" w:sz="17" w:space="0" w:color="1F487C"/>
              <w:bottom w:val="single" w:sz="17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80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87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Parks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Victoria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finalising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seasonal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recruitment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plan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2015/16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summer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season.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Recruitment is anticipated to match recruitment for the 2014/15 summer season, when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10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seasonal staff were employed to assist with patrolling and fire response on the</w:t>
      </w:r>
      <w:r>
        <w:rPr>
          <w:rFonts w:ascii="Calibri"/>
          <w:spacing w:val="-24"/>
          <w:sz w:val="22"/>
        </w:rPr>
        <w:t> </w:t>
      </w:r>
      <w:r>
        <w:rPr>
          <w:rFonts w:ascii="Calibri"/>
          <w:sz w:val="22"/>
        </w:rPr>
        <w:t>Heath.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52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Equipment resources that are available for response activities in the Barwon South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Region for the 2015/16 summer season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include:</w:t>
      </w:r>
    </w:p>
    <w:p>
      <w:pPr>
        <w:spacing w:line="240" w:lineRule="auto" w:before="11"/>
        <w:rPr>
          <w:rFonts w:ascii="Calibri" w:hAnsi="Calibri" w:cs="Calibri" w:eastAsia="Calibri"/>
          <w:sz w:val="9"/>
          <w:szCs w:val="9"/>
        </w:rPr>
      </w:pPr>
    </w:p>
    <w:tbl>
      <w:tblPr>
        <w:tblW w:w="0" w:type="auto"/>
        <w:jc w:val="left"/>
        <w:tblInd w:w="8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263"/>
        <w:gridCol w:w="1378"/>
        <w:gridCol w:w="1386"/>
        <w:gridCol w:w="1588"/>
        <w:gridCol w:w="1459"/>
      </w:tblGrid>
      <w:tr>
        <w:trPr>
          <w:trHeight w:val="568" w:hRule="exact"/>
        </w:trPr>
        <w:tc>
          <w:tcPr>
            <w:tcW w:w="2576" w:type="dxa"/>
            <w:gridSpan w:val="2"/>
            <w:vMerge w:val="restart"/>
            <w:tcBorders>
              <w:top w:val="single" w:sz="17" w:space="0" w:color="1F487C"/>
              <w:left w:val="single" w:sz="17" w:space="0" w:color="1F487C"/>
              <w:right w:val="single" w:sz="17" w:space="0" w:color="1F487C"/>
            </w:tcBorders>
            <w:shd w:val="clear" w:color="auto" w:fill="DBE4F0"/>
          </w:tcPr>
          <w:p>
            <w:pPr>
              <w:pStyle w:val="TableParagraph"/>
              <w:spacing w:line="240" w:lineRule="auto" w:before="119"/>
              <w:ind w:left="7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Equipment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78" w:type="dxa"/>
            <w:vMerge w:val="restart"/>
            <w:tcBorders>
              <w:top w:val="single" w:sz="17" w:space="0" w:color="1F487C"/>
              <w:left w:val="single" w:sz="17" w:space="0" w:color="1F487C"/>
              <w:right w:val="single" w:sz="17" w:space="0" w:color="1F487C"/>
            </w:tcBorders>
            <w:shd w:val="clear" w:color="auto" w:fill="DBE4F0"/>
          </w:tcPr>
          <w:p>
            <w:pPr>
              <w:pStyle w:val="TableParagraph"/>
              <w:spacing w:line="240" w:lineRule="auto" w:before="119"/>
              <w:ind w:left="2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Statewide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434" w:type="dxa"/>
            <w:gridSpan w:val="3"/>
            <w:tcBorders>
              <w:top w:val="single" w:sz="17" w:space="0" w:color="1F487C"/>
              <w:left w:val="single" w:sz="17" w:space="0" w:color="1F487C"/>
              <w:bottom w:val="nil" w:sz="6" w:space="0" w:color="auto"/>
              <w:right w:val="single" w:sz="17" w:space="0" w:color="1F487C"/>
            </w:tcBorders>
            <w:shd w:val="clear" w:color="auto" w:fill="DBE4F0"/>
          </w:tcPr>
          <w:p>
            <w:pPr>
              <w:pStyle w:val="TableParagraph"/>
              <w:spacing w:line="240" w:lineRule="auto" w:before="119"/>
              <w:ind w:left="94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Barwon South West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Region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053" w:hRule="exact"/>
        </w:trPr>
        <w:tc>
          <w:tcPr>
            <w:tcW w:w="2576" w:type="dxa"/>
            <w:gridSpan w:val="2"/>
            <w:vMerge/>
            <w:tcBorders>
              <w:left w:val="single" w:sz="17" w:space="0" w:color="1F487C"/>
              <w:bottom w:val="single" w:sz="4" w:space="0" w:color="000000"/>
              <w:right w:val="single" w:sz="17" w:space="0" w:color="1F487C"/>
            </w:tcBorders>
            <w:shd w:val="clear" w:color="auto" w:fill="DBE4F0"/>
          </w:tcPr>
          <w:p>
            <w:pPr/>
          </w:p>
        </w:tc>
        <w:tc>
          <w:tcPr>
            <w:tcW w:w="1378" w:type="dxa"/>
            <w:vMerge/>
            <w:tcBorders>
              <w:left w:val="single" w:sz="17" w:space="0" w:color="1F487C"/>
              <w:bottom w:val="single" w:sz="4" w:space="0" w:color="1F487C"/>
              <w:right w:val="single" w:sz="17" w:space="0" w:color="1F487C"/>
            </w:tcBorders>
            <w:shd w:val="clear" w:color="auto" w:fill="DBE4F0"/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single" w:sz="17" w:space="0" w:color="1F487C"/>
              <w:bottom w:val="single" w:sz="4" w:space="0" w:color="1F487C"/>
              <w:right w:val="nil" w:sz="6" w:space="0" w:color="auto"/>
            </w:tcBorders>
            <w:shd w:val="clear" w:color="auto" w:fill="DBE4F0"/>
          </w:tcPr>
          <w:p>
            <w:pPr>
              <w:pStyle w:val="TableParagraph"/>
              <w:spacing w:line="240" w:lineRule="auto" w:before="118"/>
              <w:ind w:left="297" w:right="294" w:firstLine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Otway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District*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single" w:sz="4" w:space="0" w:color="1F487C"/>
              <w:right w:val="nil" w:sz="6" w:space="0" w:color="auto"/>
            </w:tcBorders>
            <w:shd w:val="clear" w:color="auto" w:fill="DBE4F0"/>
          </w:tcPr>
          <w:p>
            <w:pPr>
              <w:pStyle w:val="TableParagraph"/>
              <w:spacing w:line="240" w:lineRule="auto" w:before="118"/>
              <w:ind w:left="291" w:right="41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Far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South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West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District**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59" w:type="dxa"/>
            <w:tcBorders>
              <w:top w:val="nil" w:sz="6" w:space="0" w:color="auto"/>
              <w:left w:val="nil" w:sz="6" w:space="0" w:color="auto"/>
              <w:bottom w:val="single" w:sz="4" w:space="0" w:color="1F487C"/>
              <w:right w:val="single" w:sz="17" w:space="0" w:color="1F487C"/>
            </w:tcBorders>
            <w:shd w:val="clear" w:color="auto" w:fill="DBE4F0"/>
          </w:tcPr>
          <w:p>
            <w:pPr>
              <w:pStyle w:val="TableParagraph"/>
              <w:spacing w:line="240" w:lineRule="auto" w:before="118"/>
              <w:ind w:left="4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26" w:hRule="exact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17" w:space="0" w:color="1F487C"/>
              <w:right w:val="single" w:sz="4" w:space="0" w:color="1F487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Aircraft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26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Helitack</w:t>
            </w:r>
          </w:p>
        </w:tc>
        <w:tc>
          <w:tcPr>
            <w:tcW w:w="1378" w:type="dxa"/>
            <w:tcBorders>
              <w:top w:val="single" w:sz="4" w:space="0" w:color="1F487C"/>
              <w:left w:val="single" w:sz="17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  <w:r>
              <w:rPr>
                <w:rFonts w:ascii="Calibri"/>
                <w:w w:val="100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1313" w:type="dxa"/>
            <w:vMerge/>
            <w:tcBorders>
              <w:left w:val="single" w:sz="17" w:space="0" w:color="1F487C"/>
              <w:right w:val="single" w:sz="4" w:space="0" w:color="1F487C"/>
            </w:tcBorders>
          </w:tcPr>
          <w:p>
            <w:pPr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2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Firebird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7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1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  <w:r>
              <w:rPr>
                <w:rFonts w:ascii="Calibri"/>
                <w:w w:val="100"/>
                <w:sz w:val="22"/>
              </w:rPr>
            </w:r>
          </w:p>
        </w:tc>
      </w:tr>
      <w:tr>
        <w:trPr>
          <w:trHeight w:val="523" w:hRule="exact"/>
        </w:trPr>
        <w:tc>
          <w:tcPr>
            <w:tcW w:w="1313" w:type="dxa"/>
            <w:vMerge/>
            <w:tcBorders>
              <w:left w:val="single" w:sz="17" w:space="0" w:color="1F487C"/>
              <w:right w:val="single" w:sz="4" w:space="0" w:color="1F487C"/>
            </w:tcBorders>
          </w:tcPr>
          <w:p>
            <w:pPr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2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Bombers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7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12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  <w:r>
              <w:rPr>
                <w:rFonts w:ascii="Calibri"/>
                <w:w w:val="100"/>
                <w:sz w:val="22"/>
              </w:rPr>
            </w:r>
          </w:p>
        </w:tc>
      </w:tr>
      <w:tr>
        <w:trPr>
          <w:trHeight w:val="526" w:hRule="exact"/>
        </w:trPr>
        <w:tc>
          <w:tcPr>
            <w:tcW w:w="1313" w:type="dxa"/>
            <w:vMerge/>
            <w:tcBorders>
              <w:left w:val="single" w:sz="17" w:space="0" w:color="1F487C"/>
              <w:right w:val="single" w:sz="4" w:space="0" w:color="1F487C"/>
            </w:tcBorders>
          </w:tcPr>
          <w:p>
            <w:pPr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9"/>
              <w:ind w:left="3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Others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7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9"/>
              <w:ind w:right="1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  <w:r>
              <w:rPr>
                <w:rFonts w:ascii="Calibri"/>
                <w:w w:val="100"/>
                <w:sz w:val="22"/>
              </w:rPr>
            </w:r>
          </w:p>
        </w:tc>
      </w:tr>
      <w:tr>
        <w:trPr>
          <w:trHeight w:val="526" w:hRule="exact"/>
        </w:trPr>
        <w:tc>
          <w:tcPr>
            <w:tcW w:w="1313" w:type="dxa"/>
            <w:vMerge/>
            <w:tcBorders>
              <w:left w:val="single" w:sz="17" w:space="0" w:color="1F487C"/>
              <w:bottom w:val="single" w:sz="4" w:space="0" w:color="000000"/>
              <w:right w:val="single" w:sz="4" w:space="0" w:color="1F487C"/>
            </w:tcBorders>
          </w:tcPr>
          <w:p>
            <w:pPr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39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</w:t>
            </w:r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12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  <w:r>
              <w:rPr>
                <w:rFonts w:ascii="Calibri"/>
                <w:w w:val="100"/>
                <w:sz w:val="22"/>
              </w:rPr>
            </w:r>
          </w:p>
        </w:tc>
      </w:tr>
      <w:tr>
        <w:trPr>
          <w:trHeight w:val="526" w:hRule="exact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4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Tankers (slip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ons)</w:t>
            </w:r>
          </w:p>
        </w:tc>
        <w:tc>
          <w:tcPr>
            <w:tcW w:w="1378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/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24" w:hRule="exact"/>
        </w:trPr>
        <w:tc>
          <w:tcPr>
            <w:tcW w:w="2576" w:type="dxa"/>
            <w:gridSpan w:val="2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5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Vehicles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(4WDs)</w:t>
            </w:r>
          </w:p>
        </w:tc>
        <w:tc>
          <w:tcPr>
            <w:tcW w:w="1378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/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26" w:hRule="exact"/>
        </w:trPr>
        <w:tc>
          <w:tcPr>
            <w:tcW w:w="2576" w:type="dxa"/>
            <w:gridSpan w:val="2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Dozers</w:t>
            </w:r>
          </w:p>
        </w:tc>
        <w:tc>
          <w:tcPr>
            <w:tcW w:w="1378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/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right="12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9"/>
              <w:ind w:right="1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26" w:hRule="exact"/>
        </w:trPr>
        <w:tc>
          <w:tcPr>
            <w:tcW w:w="2576" w:type="dxa"/>
            <w:gridSpan w:val="2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Trailers</w:t>
            </w:r>
          </w:p>
        </w:tc>
        <w:tc>
          <w:tcPr>
            <w:tcW w:w="1378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single" w:sz="17" w:space="0" w:color="1F487C"/>
            </w:tcBorders>
          </w:tcPr>
          <w:p>
            <w:pPr/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4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576" w:type="dxa"/>
            <w:gridSpan w:val="2"/>
            <w:tcBorders>
              <w:top w:val="single" w:sz="4" w:space="0" w:color="1F487C"/>
              <w:left w:val="single" w:sz="17" w:space="0" w:color="1F487C"/>
              <w:bottom w:val="single" w:sz="17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Airbases</w:t>
            </w:r>
          </w:p>
        </w:tc>
        <w:tc>
          <w:tcPr>
            <w:tcW w:w="1378" w:type="dxa"/>
            <w:tcBorders>
              <w:top w:val="single" w:sz="4" w:space="0" w:color="1F487C"/>
              <w:left w:val="single" w:sz="17" w:space="0" w:color="1F487C"/>
              <w:bottom w:val="single" w:sz="17" w:space="0" w:color="1F487C"/>
              <w:right w:val="single" w:sz="17" w:space="0" w:color="1F487C"/>
            </w:tcBorders>
          </w:tcPr>
          <w:p>
            <w:pPr/>
          </w:p>
        </w:tc>
        <w:tc>
          <w:tcPr>
            <w:tcW w:w="1386" w:type="dxa"/>
            <w:tcBorders>
              <w:top w:val="single" w:sz="4" w:space="0" w:color="1F487C"/>
              <w:left w:val="single" w:sz="17" w:space="0" w:color="1F487C"/>
              <w:bottom w:val="single" w:sz="17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(Colac)</w:t>
            </w:r>
          </w:p>
        </w:tc>
        <w:tc>
          <w:tcPr>
            <w:tcW w:w="1588" w:type="dxa"/>
            <w:tcBorders>
              <w:top w:val="single" w:sz="4" w:space="0" w:color="1F487C"/>
              <w:left w:val="nil" w:sz="6" w:space="0" w:color="auto"/>
              <w:bottom w:val="single" w:sz="17" w:space="0" w:color="1F487C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12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459" w:type="dxa"/>
            <w:tcBorders>
              <w:top w:val="single" w:sz="4" w:space="0" w:color="1F487C"/>
              <w:left w:val="nil" w:sz="6" w:space="0" w:color="auto"/>
              <w:bottom w:val="single" w:sz="17" w:space="0" w:color="1F487C"/>
              <w:right w:val="single" w:sz="17" w:space="0" w:color="1F487C"/>
            </w:tcBorders>
          </w:tcPr>
          <w:p>
            <w:pPr>
              <w:pStyle w:val="TableParagraph"/>
              <w:spacing w:line="240" w:lineRule="auto" w:before="117"/>
              <w:ind w:right="1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  <w:t>9</w:t>
            </w:r>
            <w:r>
              <w:rPr>
                <w:rFonts w:ascii="Calibri"/>
                <w:w w:val="100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9"/>
          <w:szCs w:val="29"/>
        </w:rPr>
      </w:pPr>
    </w:p>
    <w:p>
      <w:pPr>
        <w:spacing w:line="20" w:lineRule="exac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58pt;height:1pt;mso-position-horizontal-relative:char;mso-position-vertical-relative:line" coordorigin="0,0" coordsize="9160,20">
            <v:group style="position:absolute;left:10;top:10;width:9141;height:2" coordorigin="10,10" coordsize="9141,2">
              <v:shape style="position:absolute;left:10;top:10;width:9141;height:2" coordorigin="10,10" coordsize="9141,0" path="m10,10l9150,10e" filled="false" stroked="true" strokeweight=".96002pt" strokecolor="#4194d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exact"/>
        <w:rPr>
          <w:rFonts w:ascii="Calibri" w:hAnsi="Calibri" w:cs="Calibri" w:eastAsia="Calibri"/>
          <w:sz w:val="2"/>
          <w:szCs w:val="2"/>
        </w:rPr>
        <w:sectPr>
          <w:pgSz w:w="11910" w:h="16840"/>
          <w:pgMar w:header="0" w:footer="1125" w:top="1520" w:bottom="1320" w:left="1260" w:right="1260"/>
        </w:sectPr>
      </w:pPr>
    </w:p>
    <w:p>
      <w:pPr>
        <w:tabs>
          <w:tab w:pos="1591" w:val="left" w:leader="none"/>
        </w:tabs>
        <w:spacing w:before="42"/>
        <w:ind w:left="1591" w:right="159" w:hanging="646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w w:val="95"/>
          <w:sz w:val="20"/>
        </w:rPr>
        <w:t>*</w:t>
        <w:tab/>
      </w:r>
      <w:r>
        <w:rPr>
          <w:rFonts w:ascii="Calibri"/>
          <w:sz w:val="20"/>
        </w:rPr>
        <w:t>Otway  District  covers  Anglesea,  Apollo  Bay,  Colac,  Forest,  Gellibrand,  Lorne  and      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Port</w:t>
      </w:r>
      <w:r>
        <w:rPr>
          <w:rFonts w:ascii="Calibri"/>
          <w:w w:val="99"/>
          <w:sz w:val="20"/>
        </w:rPr>
        <w:t> </w:t>
      </w:r>
      <w:r>
        <w:rPr>
          <w:rFonts w:ascii="Calibri"/>
          <w:sz w:val="20"/>
        </w:rPr>
        <w:t>Campbell.</w:t>
      </w:r>
    </w:p>
    <w:p>
      <w:pPr>
        <w:tabs>
          <w:tab w:pos="1591" w:val="left" w:leader="none"/>
        </w:tabs>
        <w:spacing w:before="0"/>
        <w:ind w:left="1591" w:right="159" w:hanging="646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**</w:t>
        <w:tab/>
        <w:t>Far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sz w:val="20"/>
        </w:rPr>
        <w:t>South</w:t>
      </w:r>
      <w:r>
        <w:rPr>
          <w:rFonts w:ascii="Calibri"/>
          <w:sz w:val="20"/>
        </w:rPr>
        <w:t> West </w:t>
      </w:r>
      <w:r>
        <w:rPr>
          <w:rFonts w:ascii="Calibri"/>
          <w:spacing w:val="-1"/>
          <w:sz w:val="20"/>
        </w:rPr>
        <w:t>District</w:t>
      </w:r>
      <w:r>
        <w:rPr>
          <w:rFonts w:ascii="Calibri"/>
          <w:sz w:val="20"/>
        </w:rPr>
        <w:t> covers </w:t>
      </w:r>
      <w:r>
        <w:rPr>
          <w:rFonts w:ascii="Calibri"/>
          <w:spacing w:val="-1"/>
          <w:sz w:val="20"/>
        </w:rPr>
        <w:t>Casterton,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sz w:val="20"/>
        </w:rPr>
        <w:t>Dartmoor,</w:t>
      </w:r>
      <w:r>
        <w:rPr>
          <w:rFonts w:ascii="Calibri"/>
          <w:sz w:val="20"/>
        </w:rPr>
        <w:t> Hamilton, </w:t>
      </w:r>
      <w:r>
        <w:rPr>
          <w:rFonts w:ascii="Calibri"/>
          <w:spacing w:val="-1"/>
          <w:sz w:val="20"/>
        </w:rPr>
        <w:t>Heywood,</w:t>
      </w:r>
      <w:r>
        <w:rPr>
          <w:rFonts w:ascii="Calibri"/>
          <w:sz w:val="20"/>
        </w:rPr>
        <w:t> Macarthur,  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pacing w:val="-1"/>
          <w:sz w:val="20"/>
        </w:rPr>
        <w:t>Nelson,</w:t>
      </w:r>
      <w:r>
        <w:rPr>
          <w:rFonts w:ascii="Calibri"/>
          <w:w w:val="99"/>
          <w:sz w:val="20"/>
        </w:rPr>
        <w:t> </w:t>
      </w:r>
      <w:r>
        <w:rPr>
          <w:rFonts w:ascii="Calibri"/>
          <w:sz w:val="20"/>
        </w:rPr>
        <w:t>Portland and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Warrnambool.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right="414"/>
        <w:jc w:val="left"/>
        <w:rPr>
          <w:b w:val="0"/>
          <w:bCs w:val="0"/>
        </w:rPr>
      </w:pPr>
      <w:bookmarkStart w:name="_TOC_250003" w:id="14"/>
      <w:r>
        <w:rPr/>
        <w:t>Response</w:t>
      </w:r>
      <w:bookmarkEnd w:id="14"/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DELWP, Parks Victoria and the CFA undertake extensive response activities during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bushfires.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Response activities include any action aimed at suppressing an ignited fire, such as water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foam dropping via a helicopter or fixed-wing aircraft and direct or indirect attack by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ground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personnel.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Across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State,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Region,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fires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accordance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with the State strategic control priorities as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follows:</w:t>
      </w:r>
    </w:p>
    <w:p>
      <w:pPr>
        <w:pStyle w:val="BodyText"/>
        <w:spacing w:line="240" w:lineRule="auto" w:before="121"/>
        <w:ind w:left="1145" w:right="414" w:firstLine="0"/>
        <w:jc w:val="left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7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protection and preservation of life is</w:t>
      </w:r>
      <w:r>
        <w:rPr>
          <w:spacing w:val="-15"/>
        </w:rPr>
        <w:t> </w:t>
      </w:r>
      <w:r>
        <w:rPr/>
        <w:t>paramount</w:t>
      </w:r>
    </w:p>
    <w:p>
      <w:pPr>
        <w:pStyle w:val="BodyText"/>
        <w:spacing w:line="240" w:lineRule="auto" w:before="121"/>
        <w:ind w:left="1145" w:right="414" w:firstLine="0"/>
        <w:jc w:val="left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7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issuing of community information and community</w:t>
      </w:r>
      <w:r>
        <w:rPr>
          <w:spacing w:val="-20"/>
        </w:rPr>
        <w:t> </w:t>
      </w:r>
      <w:r>
        <w:rPr/>
        <w:t>warnings</w:t>
      </w:r>
    </w:p>
    <w:p>
      <w:pPr>
        <w:pStyle w:val="BodyText"/>
        <w:spacing w:line="266" w:lineRule="exact" w:before="129"/>
        <w:ind w:left="1570" w:right="52" w:hanging="425"/>
        <w:jc w:val="left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7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protection  of  critical  infrastructure  and  community  assets  supporting </w:t>
      </w:r>
      <w:r>
        <w:rPr>
          <w:spacing w:val="5"/>
        </w:rPr>
        <w:t> </w:t>
      </w:r>
      <w:r>
        <w:rPr/>
        <w:t>community</w:t>
      </w:r>
      <w:r>
        <w:rPr>
          <w:w w:val="100"/>
        </w:rPr>
        <w:t> </w:t>
      </w:r>
      <w:r>
        <w:rPr/>
        <w:t>resilience</w:t>
      </w:r>
    </w:p>
    <w:p>
      <w:pPr>
        <w:pStyle w:val="BodyText"/>
        <w:spacing w:line="240" w:lineRule="auto" w:before="127"/>
        <w:ind w:left="1145" w:right="414" w:firstLine="0"/>
        <w:jc w:val="left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7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protection of residential</w:t>
      </w:r>
      <w:r>
        <w:rPr>
          <w:spacing w:val="-8"/>
        </w:rPr>
        <w:t> </w:t>
      </w:r>
      <w:r>
        <w:rPr/>
        <w:t>property</w:t>
      </w:r>
    </w:p>
    <w:p>
      <w:pPr>
        <w:pStyle w:val="BodyText"/>
        <w:spacing w:line="333" w:lineRule="auto" w:before="121"/>
        <w:ind w:left="1145" w:right="753" w:firstLine="0"/>
        <w:jc w:val="left"/>
        <w:rPr>
          <w:sz w:val="14"/>
          <w:szCs w:val="14"/>
        </w:rPr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8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protection of assets supporting individual livelihoods and economic production</w:t>
      </w:r>
      <w:r>
        <w:rPr>
          <w:spacing w:val="-16"/>
        </w:rPr>
        <w:t> </w:t>
      </w:r>
      <w:r>
        <w:rPr>
          <w:spacing w:val="-16"/>
        </w:rPr>
      </w:r>
      <w:r>
        <w:rPr>
          <w:w w:val="100"/>
          <w:position w:val="-4"/>
        </w:rPr>
        <w:drawing>
          <wp:inline distT="0" distB="0" distL="0" distR="0">
            <wp:extent cx="128015" cy="172212"/>
            <wp:effectExtent l="0" t="0" r="0" b="0"/>
            <wp:docPr id="8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rFonts w:ascii="Times New Roman"/>
          <w:w w:val="100"/>
        </w:rPr>
        <w:t>   </w:t>
      </w:r>
      <w:r>
        <w:rPr/>
        <w:t>protection of environmental and conservation</w:t>
      </w:r>
      <w:r>
        <w:rPr>
          <w:spacing w:val="-15"/>
        </w:rPr>
        <w:t> </w:t>
      </w:r>
      <w:r>
        <w:rPr/>
        <w:t>assets.</w:t>
      </w:r>
      <w:r>
        <w:rPr>
          <w:position w:val="10"/>
          <w:sz w:val="14"/>
        </w:rPr>
        <w:t>16</w:t>
      </w:r>
      <w:r>
        <w:rPr>
          <w:sz w:val="14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6" w:after="0"/>
        <w:ind w:left="946" w:right="149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Barwon South West Region produces an annual Barwon South West Response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Plan,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defines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readiness,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initial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attack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firefighting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procedures,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adopted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DELWP and Parks Victoria in the Barwon South West Fire Region for each upcoming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bushfire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season.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Barwon South West Response Plan allows for effective, efficient and 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consistent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response activities across each locality within the region. DELWP and Parks Victoria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officers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trained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same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standard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roles.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allows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resources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throughout the region to be drawn on for fires that require prolonged response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actions.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Barwon South West Response Plan mandates readiness arrangements, such as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standby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Incident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Control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Centres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aviation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capability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during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days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periods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elevated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forest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grass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danger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index.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aims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ensure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initial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attacks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emerging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fires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swift and targeted to minimise the spread of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fires.</w:t>
      </w:r>
    </w:p>
    <w:p>
      <w:pPr>
        <w:spacing w:before="120"/>
        <w:ind w:left="946" w:right="41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Responding to Fires Affecting Anglesea</w:t>
      </w:r>
      <w:r>
        <w:rPr>
          <w:rFonts w:ascii="Calibri"/>
          <w:i/>
          <w:spacing w:val="-10"/>
          <w:sz w:val="22"/>
        </w:rPr>
        <w:t> </w:t>
      </w:r>
      <w:r>
        <w:rPr>
          <w:rFonts w:ascii="Calibri"/>
          <w:i/>
          <w:sz w:val="22"/>
        </w:rPr>
        <w:t>Heath</w:t>
      </w:r>
      <w:r>
        <w:rPr>
          <w:rFonts w:ascii="Calibri"/>
          <w:sz w:val="22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8" w:lineRule="exact" w:before="115" w:after="0"/>
        <w:ind w:left="946" w:right="147" w:hanging="79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22"/>
        </w:rPr>
        <w:t>Management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affecting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Heath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coordinated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Geelong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Incident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Control Centre, in accordance with the Command and Control arrangements for the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South West Region</w:t>
      </w:r>
      <w:bookmarkStart w:name="_bookmark0" w:id="15"/>
      <w:bookmarkEnd w:id="15"/>
      <w:r>
        <w:rPr>
          <w:rFonts w:ascii="Calibri"/>
          <w:sz w:val="22"/>
        </w:rPr>
        <w:t>.</w:t>
      </w:r>
      <w:r>
        <w:rPr>
          <w:rFonts w:ascii="Calibri"/>
          <w:position w:val="10"/>
          <w:sz w:val="14"/>
        </w:rPr>
        <w:t>17 </w:t>
      </w:r>
      <w:r>
        <w:rPr>
          <w:rFonts w:ascii="Calibri"/>
          <w:sz w:val="22"/>
        </w:rPr>
        <w:t>The CFA and DELWP operations will be integrated for any fire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affecting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 Heath</w:t>
      </w:r>
      <w:hyperlink w:history="true" w:anchor="_bookmark0">
        <w:r>
          <w:rPr>
            <w:rFonts w:ascii="Calibri"/>
            <w:sz w:val="22"/>
          </w:rPr>
          <w:t>.</w:t>
        </w:r>
        <w:r>
          <w:rPr>
            <w:rFonts w:ascii="Calibri"/>
            <w:position w:val="10"/>
            <w:sz w:val="14"/>
          </w:rPr>
          <w:t>17</w:t>
        </w:r>
        <w:r>
          <w:rPr>
            <w:rFonts w:ascii="Calibri"/>
            <w:sz w:val="14"/>
          </w:rPr>
        </w:r>
      </w:hyperlink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5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Initial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attack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Heath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coordinated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Plan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until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such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time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Incident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Action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Plan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put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place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Chief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Officer.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2"/>
          <w:szCs w:val="12"/>
        </w:rPr>
      </w:pPr>
    </w:p>
    <w:p>
      <w:pPr>
        <w:spacing w:line="20" w:lineRule="exact"/>
        <w:ind w:left="93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199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spacing w:before="77"/>
        <w:ind w:left="946" w:right="41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9"/>
          <w:sz w:val="12"/>
        </w:rPr>
        <w:t>16 </w:t>
      </w:r>
      <w:r>
        <w:rPr>
          <w:rFonts w:ascii="Calibri"/>
          <w:sz w:val="18"/>
        </w:rPr>
        <w:t>State Emergency Response Plan, Part 3: Emergency Management Manual Victoria at </w:t>
      </w:r>
      <w:r>
        <w:rPr>
          <w:rFonts w:ascii="Calibri"/>
          <w:i/>
          <w:sz w:val="18"/>
        </w:rPr>
        <w:t>3.2.2 State</w:t>
      </w:r>
      <w:r>
        <w:rPr>
          <w:rFonts w:ascii="Calibri"/>
          <w:i/>
          <w:spacing w:val="-11"/>
          <w:sz w:val="18"/>
        </w:rPr>
        <w:t> </w:t>
      </w:r>
      <w:r>
        <w:rPr>
          <w:rFonts w:ascii="Calibri"/>
          <w:i/>
          <w:sz w:val="18"/>
        </w:rPr>
        <w:t>strategic</w:t>
      </w:r>
      <w:r>
        <w:rPr>
          <w:rFonts w:ascii="Calibri"/>
          <w:i/>
          <w:w w:val="100"/>
          <w:sz w:val="18"/>
        </w:rPr>
        <w:t> </w:t>
      </w:r>
      <w:r>
        <w:rPr>
          <w:rFonts w:ascii="Calibri"/>
          <w:i/>
          <w:sz w:val="18"/>
        </w:rPr>
        <w:t>control priorities </w:t>
      </w:r>
      <w:r>
        <w:rPr>
          <w:rFonts w:ascii="Calibri"/>
          <w:sz w:val="18"/>
        </w:rPr>
        <w:t>(page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3-2).</w:t>
      </w:r>
    </w:p>
    <w:p>
      <w:pPr>
        <w:spacing w:line="243" w:lineRule="exact" w:before="0"/>
        <w:ind w:left="946" w:right="41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10"/>
          <w:sz w:val="13"/>
        </w:rPr>
        <w:t>17 </w:t>
      </w:r>
      <w:r>
        <w:rPr>
          <w:rFonts w:ascii="Calibri"/>
          <w:sz w:val="18"/>
        </w:rPr>
        <w:t>Barwon South West DELWP/CFA Local Mutual Aid Plan 2014/2015 Fire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Season</w:t>
      </w:r>
      <w:r>
        <w:rPr>
          <w:rFonts w:ascii="Calibri"/>
          <w:sz w:val="20"/>
        </w:rPr>
        <w:t>.</w:t>
      </w:r>
    </w:p>
    <w:p>
      <w:pPr>
        <w:spacing w:after="0" w:line="243" w:lineRule="exact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24"/>
          <w:pgSz w:w="11910" w:h="16840"/>
          <w:pgMar w:footer="1187" w:header="0" w:top="1520" w:bottom="1380" w:left="1260" w:right="1260"/>
        </w:sect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40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Barwon South West Response Plan provides guidance on the tactics that may 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suitable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suppression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sensitive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area,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such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Heath.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tactics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include: fireline construction using helicopter rappel crews; hover exit crews or ground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hand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crews; air attack using water bombing; fire retardant or foam; backburning from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existing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tracks;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fireline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construction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bulldozers;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flattening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slashing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vegetation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rollers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or slashers; and wet firefighting using pumps and hoses with water and/or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z w:val="22"/>
        </w:rPr>
        <w:t>foam.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66" w:lineRule="exact" w:before="117" w:after="0"/>
        <w:ind w:left="946" w:right="153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An Incident Action Plan outlines the strategic, operational and tactical actions to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undertaken during a fire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response.</w:t>
      </w:r>
    </w:p>
    <w:p>
      <w:pPr>
        <w:spacing w:line="240" w:lineRule="auto" w:before="0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/>
        <w:ind w:right="414"/>
        <w:jc w:val="left"/>
        <w:rPr>
          <w:b w:val="0"/>
          <w:bCs w:val="0"/>
        </w:rPr>
      </w:pPr>
      <w:bookmarkStart w:name="_TOC_250002" w:id="16"/>
      <w:r>
        <w:rPr/>
        <w:t>Recovery</w:t>
      </w:r>
      <w:bookmarkEnd w:id="16"/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Recovery programs and activities play several important roles following bushfires, including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regenerating ecological environments and mitigation against future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fires.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Recovery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planning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West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Region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incorporates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recovery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planning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Heath.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Recovery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plans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developed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through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Regional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Emergency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Team and the Surf Coast Shire Municipal Emergency Management Planning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z w:val="22"/>
        </w:rPr>
        <w:t>Committee.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</w:p>
    <w:p>
      <w:pPr>
        <w:spacing w:line="20" w:lineRule="exac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58pt;height:1pt;mso-position-horizontal-relative:char;mso-position-vertical-relative:line" coordorigin="0,0" coordsize="9160,20">
            <v:group style="position:absolute;left:10;top:10;width:9141;height:2" coordorigin="10,10" coordsize="9141,2">
              <v:shape style="position:absolute;left:10;top:10;width:9141;height:2" coordorigin="10,10" coordsize="9141,0" path="m10,10l9150,10e" filled="false" stroked="true" strokeweight=".96002pt" strokecolor="#4194d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exact"/>
        <w:rPr>
          <w:rFonts w:ascii="Calibri" w:hAnsi="Calibri" w:cs="Calibri" w:eastAsia="Calibri"/>
          <w:sz w:val="2"/>
          <w:szCs w:val="2"/>
        </w:rPr>
        <w:sectPr>
          <w:footerReference w:type="default" r:id="rId25"/>
          <w:pgSz w:w="11910" w:h="16840"/>
          <w:pgMar w:footer="1125" w:header="0" w:top="1520" w:bottom="1320" w:left="1260" w:right="1260"/>
          <w:pgNumType w:start="21"/>
        </w:sectPr>
      </w:pPr>
    </w:p>
    <w:p>
      <w:pPr>
        <w:pStyle w:val="Heading1"/>
        <w:numPr>
          <w:ilvl w:val="0"/>
          <w:numId w:val="2"/>
        </w:numPr>
        <w:tabs>
          <w:tab w:pos="946" w:val="left" w:leader="none"/>
        </w:tabs>
        <w:spacing w:line="240" w:lineRule="auto" w:before="2" w:after="0"/>
        <w:ind w:left="946" w:right="350" w:hanging="795"/>
        <w:jc w:val="left"/>
      </w:pPr>
      <w:r>
        <w:rPr>
          <w:color w:val="1664A0"/>
        </w:rPr>
        <w:t>Fire responses within the Anglesea Coal Mine</w:t>
      </w:r>
      <w:r>
        <w:rPr>
          <w:color w:val="1664A0"/>
          <w:spacing w:val="-9"/>
        </w:rPr>
        <w:t> </w:t>
      </w:r>
      <w:r>
        <w:rPr>
          <w:color w:val="1664A0"/>
        </w:rPr>
        <w:t>and</w:t>
      </w:r>
      <w:r>
        <w:rPr>
          <w:color w:val="1664A0"/>
          <w:w w:val="100"/>
        </w:rPr>
        <w:t> </w:t>
      </w:r>
      <w:r>
        <w:rPr>
          <w:color w:val="1664A0"/>
        </w:rPr>
        <w:t>Anglesea Power</w:t>
      </w:r>
      <w:r>
        <w:rPr>
          <w:color w:val="1664A0"/>
          <w:spacing w:val="-1"/>
        </w:rPr>
        <w:t> </w:t>
      </w:r>
      <w:r>
        <w:rPr>
          <w:color w:val="1664A0"/>
        </w:rPr>
        <w:t>Station</w:t>
      </w:r>
      <w:r>
        <w:rPr/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237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CFA has developed specific plans for responding to fires within the Anglesea Coal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Anglesea Power Station and for the protection of the Anglesea community. These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plans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are in addition to the integrated approach between DELWP and CFA for fires occurring in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Heath.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414" w:hanging="7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CFA plans exist on multiple levels and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include:</w:t>
      </w:r>
    </w:p>
    <w:p>
      <w:pPr>
        <w:pStyle w:val="BodyText"/>
        <w:spacing w:line="266" w:lineRule="exact" w:before="129"/>
        <w:ind w:left="1570" w:right="52" w:hanging="341"/>
        <w:jc w:val="left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8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/>
        <w:t>Anglesea</w:t>
      </w:r>
      <w:r>
        <w:rPr>
          <w:spacing w:val="22"/>
        </w:rPr>
        <w:t> </w:t>
      </w:r>
      <w:r>
        <w:rPr/>
        <w:t>Local</w:t>
      </w:r>
      <w:r>
        <w:rPr>
          <w:spacing w:val="19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Plan</w:t>
      </w:r>
      <w:r>
        <w:rPr>
          <w:spacing w:val="21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23"/>
        </w:rPr>
        <w:t> </w:t>
      </w:r>
      <w:r>
        <w:rPr/>
        <w:t>Bushfires,</w:t>
      </w:r>
      <w:r>
        <w:rPr>
          <w:spacing w:val="23"/>
        </w:rPr>
        <w:t> </w:t>
      </w:r>
      <w:r>
        <w:rPr/>
        <w:t>developed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assist</w:t>
      </w:r>
      <w:r>
        <w:rPr>
          <w:spacing w:val="20"/>
        </w:rPr>
        <w:t> </w:t>
      </w:r>
      <w:r>
        <w:rPr/>
        <w:t>operational</w:t>
      </w:r>
      <w:r>
        <w:rPr>
          <w:spacing w:val="21"/>
        </w:rPr>
        <w:t> </w:t>
      </w:r>
      <w:r>
        <w:rPr/>
        <w:t>planning</w:t>
      </w:r>
      <w:r>
        <w:rPr>
          <w:w w:val="100"/>
        </w:rPr>
        <w:t> </w:t>
      </w:r>
      <w:r>
        <w:rPr/>
        <w:t>and for use by brigades and at Incident Control</w:t>
      </w:r>
      <w:r>
        <w:rPr>
          <w:spacing w:val="-13"/>
        </w:rPr>
        <w:t> </w:t>
      </w:r>
      <w:r>
        <w:rPr/>
        <w:t>Centres</w:t>
      </w:r>
    </w:p>
    <w:p>
      <w:pPr>
        <w:pStyle w:val="BodyText"/>
        <w:spacing w:line="240" w:lineRule="auto" w:before="126"/>
        <w:ind w:left="1570" w:right="52" w:hanging="341"/>
        <w:jc w:val="left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8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/>
        <w:t>Township   Protection   Plan,   developed   to   provides   community   members  </w:t>
      </w:r>
      <w:r>
        <w:rPr>
          <w:spacing w:val="48"/>
        </w:rPr>
        <w:t> </w:t>
      </w:r>
      <w:r>
        <w:rPr/>
        <w:t>with</w:t>
      </w:r>
      <w:r>
        <w:rPr>
          <w:w w:val="100"/>
        </w:rPr>
        <w:t> </w:t>
      </w:r>
      <w:r>
        <w:rPr/>
        <w:t>information to assist them in making decisions about bushfire</w:t>
      </w:r>
      <w:r>
        <w:rPr>
          <w:spacing w:val="-10"/>
        </w:rPr>
        <w:t> </w:t>
      </w:r>
      <w:r>
        <w:rPr/>
        <w:t>threats</w:t>
      </w:r>
    </w:p>
    <w:p>
      <w:pPr>
        <w:pStyle w:val="BodyText"/>
        <w:spacing w:line="343" w:lineRule="auto" w:before="121"/>
        <w:ind w:left="1229" w:right="3937" w:firstLine="0"/>
        <w:jc w:val="left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8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/>
        <w:t>Anglesea Local Emergency Planning Factors</w:t>
      </w:r>
      <w:r>
        <w:rPr>
          <w:spacing w:val="-14"/>
        </w:rPr>
        <w:t> </w:t>
      </w:r>
      <w:r>
        <w:rPr>
          <w:spacing w:val="-14"/>
        </w:rPr>
      </w:r>
      <w:r>
        <w:rPr>
          <w:w w:val="100"/>
          <w:position w:val="-4"/>
        </w:rPr>
        <w:drawing>
          <wp:inline distT="0" distB="0" distL="0" distR="0">
            <wp:extent cx="128015" cy="172211"/>
            <wp:effectExtent l="0" t="0" r="0" b="0"/>
            <wp:docPr id="9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rFonts w:ascii="Times New Roman"/>
          <w:w w:val="100"/>
        </w:rPr>
        <w:t>  </w:t>
      </w:r>
      <w:r>
        <w:rPr/>
        <w:t>Alcoa Anglesea CFA</w:t>
      </w:r>
      <w:r>
        <w:rPr>
          <w:spacing w:val="-3"/>
        </w:rPr>
        <w:t> </w:t>
      </w:r>
      <w:r>
        <w:rPr/>
        <w:t>PIP.</w:t>
      </w:r>
    </w:p>
    <w:p>
      <w:pPr>
        <w:pStyle w:val="Heading2"/>
        <w:spacing w:line="240" w:lineRule="auto" w:before="79"/>
        <w:ind w:left="0" w:right="5173"/>
        <w:jc w:val="center"/>
        <w:rPr>
          <w:b w:val="0"/>
          <w:bCs w:val="0"/>
        </w:rPr>
      </w:pPr>
      <w:bookmarkStart w:name="_TOC_250001" w:id="17"/>
      <w:r>
        <w:rPr>
          <w:color w:val="1664A0"/>
        </w:rPr>
        <w:t>Alcoa Anglesea CFA</w:t>
      </w:r>
      <w:r>
        <w:rPr>
          <w:color w:val="1664A0"/>
          <w:spacing w:val="-11"/>
        </w:rPr>
        <w:t> </w:t>
      </w:r>
      <w:r>
        <w:rPr>
          <w:color w:val="1664A0"/>
        </w:rPr>
        <w:t>PIP</w:t>
      </w:r>
      <w:bookmarkEnd w:id="17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9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Alcoa Anglesea CFA PIP is the primary document for the purposes of responding to a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fire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both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Power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Station.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contains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pre-planning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information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relevant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wildfires,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open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cut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coal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fire,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structure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fires,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HAZMAT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rescue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events. The Alcoa Anglesea CFA PIP also provides guidance to CFA commanders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personnel on operational considerations for responding to such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events.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CFA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co-operates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DELWP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Parks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Victoria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respect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CFA</w:t>
      </w:r>
      <w:r>
        <w:rPr>
          <w:rFonts w:ascii="Calibri"/>
          <w:spacing w:val="-1"/>
          <w:w w:val="100"/>
          <w:sz w:val="22"/>
        </w:rPr>
        <w:t> </w:t>
      </w:r>
      <w:r>
        <w:rPr>
          <w:rFonts w:ascii="Calibri"/>
          <w:sz w:val="22"/>
        </w:rPr>
        <w:t>PIP. Triple zero callouts at the Anglesea Coal Mine and Anglesea Power Station trigger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automatic response of CFA firefighting resources. Pursuant to the Alcoa Anglesea CFA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PIP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arrangements between CFA and the ESTA, emergency events at the Anglesea Coal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Mine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Power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Station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trigger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minimum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three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brigade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response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multiple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appliances drawn from Anglesea, Torquay 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Bellbrae.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414" w:hanging="7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Alcoa Anglesea CFA PIP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details:</w:t>
      </w:r>
    </w:p>
    <w:p>
      <w:pPr>
        <w:pStyle w:val="BodyText"/>
        <w:spacing w:line="240" w:lineRule="auto" w:before="121"/>
        <w:ind w:left="1570" w:right="52" w:hanging="286"/>
        <w:jc w:val="left"/>
      </w:pPr>
      <w:r>
        <w:rPr>
          <w:position w:val="-4"/>
        </w:rPr>
        <w:drawing>
          <wp:inline distT="0" distB="0" distL="0" distR="0">
            <wp:extent cx="128016" cy="172212"/>
            <wp:effectExtent l="0" t="0" r="0" b="0"/>
            <wp:docPr id="9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/>
        <w:t>CFA and Alcoa resources available in the vicinity of the Anglesea Coal Mine, which</w:t>
      </w:r>
      <w:r>
        <w:rPr>
          <w:spacing w:val="-10"/>
        </w:rPr>
        <w:t> </w:t>
      </w:r>
      <w:r>
        <w:rPr/>
        <w:t>the</w:t>
      </w:r>
      <w:r>
        <w:rPr>
          <w:w w:val="100"/>
        </w:rPr>
        <w:t> </w:t>
      </w:r>
      <w:r>
        <w:rPr/>
        <w:t>CFA can draw upon for fire suppression</w:t>
      </w:r>
      <w:r>
        <w:rPr>
          <w:spacing w:val="-15"/>
        </w:rPr>
        <w:t> </w:t>
      </w:r>
      <w:r>
        <w:rPr/>
        <w:t>activities</w:t>
      </w:r>
    </w:p>
    <w:p>
      <w:pPr>
        <w:pStyle w:val="BodyText"/>
        <w:spacing w:line="240" w:lineRule="auto" w:before="121"/>
        <w:ind w:left="1284" w:right="414" w:firstLine="0"/>
        <w:jc w:val="left"/>
      </w:pPr>
      <w:r>
        <w:rPr>
          <w:position w:val="-4"/>
        </w:rPr>
        <w:drawing>
          <wp:inline distT="0" distB="0" distL="0" distR="0">
            <wp:extent cx="128016" cy="172212"/>
            <wp:effectExtent l="0" t="0" r="0" b="0"/>
            <wp:docPr id="9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/>
        <w:t>known</w:t>
      </w:r>
      <w:r>
        <w:rPr>
          <w:spacing w:val="-1"/>
        </w:rPr>
        <w:t> </w:t>
      </w:r>
      <w:r>
        <w:rPr/>
        <w:t>hazards</w:t>
      </w:r>
    </w:p>
    <w:p>
      <w:pPr>
        <w:pStyle w:val="BodyText"/>
        <w:spacing w:line="240" w:lineRule="auto" w:before="118"/>
        <w:ind w:left="1284" w:right="414" w:firstLine="0"/>
        <w:jc w:val="left"/>
      </w:pPr>
      <w:r>
        <w:rPr>
          <w:position w:val="-4"/>
        </w:rPr>
        <w:drawing>
          <wp:inline distT="0" distB="0" distL="0" distR="0">
            <wp:extent cx="128016" cy="172212"/>
            <wp:effectExtent l="0" t="0" r="0" b="0"/>
            <wp:docPr id="9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/>
        <w:t>the location of hydrants and open water</w:t>
      </w:r>
      <w:r>
        <w:rPr>
          <w:spacing w:val="-6"/>
        </w:rPr>
        <w:t> </w:t>
      </w:r>
      <w:r>
        <w:rPr/>
        <w:t>points</w:t>
      </w:r>
    </w:p>
    <w:p>
      <w:pPr>
        <w:pStyle w:val="BodyText"/>
        <w:spacing w:line="240" w:lineRule="auto" w:before="121"/>
        <w:ind w:left="1570" w:right="52" w:hanging="286"/>
        <w:jc w:val="left"/>
      </w:pPr>
      <w:r>
        <w:rPr>
          <w:position w:val="-4"/>
        </w:rPr>
        <w:drawing>
          <wp:inline distT="0" distB="0" distL="0" distR="0">
            <wp:extent cx="128016" cy="172212"/>
            <wp:effectExtent l="0" t="0" r="0" b="0"/>
            <wp:docPr id="9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/>
        <w:t>access  routes  and  designated  staging  areas  to  ensure  that  initial  attack  can   </w:t>
      </w:r>
      <w:r>
        <w:rPr>
          <w:spacing w:val="2"/>
        </w:rPr>
        <w:t> </w:t>
      </w:r>
      <w:r>
        <w:rPr/>
        <w:t>be</w:t>
      </w:r>
      <w:r>
        <w:rPr>
          <w:w w:val="100"/>
        </w:rPr>
        <w:t> </w:t>
      </w:r>
      <w:r>
        <w:rPr/>
        <w:t>coordinated swiftly and</w:t>
      </w:r>
      <w:r>
        <w:rPr>
          <w:spacing w:val="-3"/>
        </w:rPr>
        <w:t> </w:t>
      </w:r>
      <w:r>
        <w:rPr/>
        <w:t>effectively.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6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CFA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resources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detailed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Anglesea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CFA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PIP,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specifically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relation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non-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structural open cut coalmine fires,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include:</w:t>
      </w:r>
    </w:p>
    <w:p>
      <w:pPr>
        <w:pStyle w:val="BodyText"/>
        <w:spacing w:line="285" w:lineRule="auto" w:before="132"/>
        <w:ind w:left="1596" w:right="5236" w:firstLine="0"/>
        <w:jc w:val="left"/>
      </w:pPr>
      <w:r>
        <w:rPr/>
        <w:pict>
          <v:group style="position:absolute;margin-left:127.220001pt;margin-top:6.033629pt;width:10.1pt;height:45.6pt;mso-position-horizontal-relative:page;mso-position-vertical-relative:paragraph;z-index:1552" coordorigin="2544,121" coordsize="202,912">
            <v:shape style="position:absolute;left:2544;top:121;width:202;height:271" type="#_x0000_t75" stroked="false">
              <v:imagedata r:id="rId12" o:title=""/>
            </v:shape>
            <v:shape style="position:absolute;left:2544;top:440;width:202;height:271" type="#_x0000_t75" stroked="false">
              <v:imagedata r:id="rId12" o:title=""/>
            </v:shape>
            <v:shape style="position:absolute;left:2544;top:761;width:202;height:271" type="#_x0000_t75" stroked="false">
              <v:imagedata r:id="rId12" o:title=""/>
            </v:shape>
            <w10:wrap type="none"/>
          </v:group>
        </w:pict>
      </w:r>
      <w:r>
        <w:rPr/>
        <w:t>two tankers from</w:t>
      </w:r>
      <w:r>
        <w:rPr>
          <w:spacing w:val="-3"/>
        </w:rPr>
        <w:t> </w:t>
      </w:r>
      <w:r>
        <w:rPr/>
        <w:t>Anglesea</w:t>
      </w:r>
      <w:r>
        <w:rPr>
          <w:w w:val="100"/>
        </w:rPr>
        <w:t> </w:t>
      </w:r>
      <w:r>
        <w:rPr/>
        <w:t>one rumper from</w:t>
      </w:r>
      <w:r>
        <w:rPr>
          <w:spacing w:val="-7"/>
        </w:rPr>
        <w:t> </w:t>
      </w:r>
      <w:r>
        <w:rPr/>
        <w:t>Anglesea</w:t>
      </w:r>
    </w:p>
    <w:p>
      <w:pPr>
        <w:pStyle w:val="BodyText"/>
        <w:spacing w:line="240" w:lineRule="auto" w:before="2"/>
        <w:ind w:left="1596" w:right="414" w:firstLine="0"/>
        <w:jc w:val="left"/>
      </w:pPr>
      <w:r>
        <w:rPr/>
        <w:t>two additional tankers from Torquay and</w:t>
      </w:r>
      <w:r>
        <w:rPr>
          <w:spacing w:val="41"/>
        </w:rPr>
        <w:t> </w:t>
      </w:r>
      <w:r>
        <w:rPr/>
        <w:t>Bellbrae.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348" w:lineRule="auto" w:before="0" w:after="0"/>
        <w:ind w:left="1284" w:right="1354" w:hanging="113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For a Level 2 Response, additional resources can be requested which include:</w:t>
      </w:r>
      <w:r>
        <w:rPr>
          <w:rFonts w:ascii="Calibri"/>
          <w:spacing w:val="-21"/>
          <w:sz w:val="22"/>
        </w:rPr>
        <w:t> </w:t>
      </w:r>
      <w:r>
        <w:rPr>
          <w:rFonts w:ascii="Calibri"/>
          <w:spacing w:val="-21"/>
          <w:sz w:val="22"/>
        </w:rPr>
      </w:r>
      <w:r>
        <w:rPr>
          <w:rFonts w:ascii="Calibri"/>
          <w:w w:val="100"/>
          <w:position w:val="-4"/>
          <w:sz w:val="22"/>
        </w:rPr>
        <w:drawing>
          <wp:inline distT="0" distB="0" distL="0" distR="0">
            <wp:extent cx="128016" cy="172212"/>
            <wp:effectExtent l="0" t="0" r="0" b="0"/>
            <wp:docPr id="10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w w:val="100"/>
          <w:position w:val="-4"/>
          <w:sz w:val="22"/>
        </w:rPr>
      </w:r>
      <w:r>
        <w:rPr>
          <w:rFonts w:ascii="Times New Roman"/>
          <w:w w:val="100"/>
          <w:sz w:val="22"/>
        </w:rPr>
        <w:t> </w:t>
      </w:r>
      <w:r>
        <w:rPr>
          <w:rFonts w:ascii="Calibri"/>
          <w:sz w:val="22"/>
        </w:rPr>
        <w:t>five additional tankers from neighbouring locations within CFA District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z w:val="22"/>
        </w:rPr>
        <w:t>7</w:t>
      </w:r>
    </w:p>
    <w:p>
      <w:pPr>
        <w:spacing w:after="0" w:line="348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5" w:top="1560" w:bottom="1320" w:left="1260" w:right="1260"/>
        </w:sectPr>
      </w:pPr>
    </w:p>
    <w:p>
      <w:pPr>
        <w:pStyle w:val="BodyText"/>
        <w:spacing w:line="285" w:lineRule="auto" w:before="92"/>
        <w:ind w:left="1596" w:right="2553" w:firstLine="0"/>
        <w:jc w:val="left"/>
      </w:pPr>
      <w:r>
        <w:rPr/>
        <w:pict>
          <v:group style="position:absolute;margin-left:127.220001pt;margin-top:4.033616pt;width:10.1pt;height:93.75pt;mso-position-horizontal-relative:page;mso-position-vertical-relative:paragraph;z-index:1576" coordorigin="2544,81" coordsize="202,1875">
            <v:shape style="position:absolute;left:2544;top:81;width:202;height:271" type="#_x0000_t75" stroked="false">
              <v:imagedata r:id="rId12" o:title=""/>
            </v:shape>
            <v:shape style="position:absolute;left:2544;top:403;width:202;height:271" type="#_x0000_t75" stroked="false">
              <v:imagedata r:id="rId12" o:title=""/>
            </v:shape>
            <v:shape style="position:absolute;left:2544;top:722;width:202;height:271" type="#_x0000_t75" stroked="false">
              <v:imagedata r:id="rId12" o:title=""/>
            </v:shape>
            <v:shape style="position:absolute;left:2544;top:1043;width:202;height:271" type="#_x0000_t75" stroked="false">
              <v:imagedata r:id="rId12" o:title=""/>
            </v:shape>
            <v:shape style="position:absolute;left:2544;top:1363;width:202;height:271" type="#_x0000_t75" stroked="false">
              <v:imagedata r:id="rId12" o:title=""/>
            </v:shape>
            <v:shape style="position:absolute;left:2544;top:1684;width:202;height:271" type="#_x0000_t75" stroked="false">
              <v:imagedata r:id="rId12" o:title=""/>
            </v:shape>
            <w10:wrap type="none"/>
          </v:group>
        </w:pict>
      </w:r>
      <w:r>
        <w:rPr/>
        <w:t>tanker strike teams from the district, region or</w:t>
      </w:r>
      <w:r>
        <w:rPr>
          <w:spacing w:val="-10"/>
        </w:rPr>
        <w:t> </w:t>
      </w:r>
      <w:r>
        <w:rPr/>
        <w:t>State</w:t>
      </w:r>
      <w:r>
        <w:rPr>
          <w:w w:val="100"/>
        </w:rPr>
        <w:t> </w:t>
      </w:r>
      <w:r>
        <w:rPr/>
        <w:t>pumper strike teams from the district, region or</w:t>
      </w:r>
      <w:r>
        <w:rPr>
          <w:spacing w:val="-9"/>
        </w:rPr>
        <w:t> </w:t>
      </w:r>
      <w:r>
        <w:rPr/>
        <w:t>State</w:t>
      </w:r>
      <w:r>
        <w:rPr>
          <w:w w:val="100"/>
        </w:rPr>
        <w:t> </w:t>
      </w:r>
      <w:r>
        <w:rPr/>
        <w:t>Corio Heavy Hazmat (atmospheric monitoring</w:t>
      </w:r>
      <w:r>
        <w:rPr>
          <w:spacing w:val="-14"/>
        </w:rPr>
        <w:t> </w:t>
      </w:r>
      <w:r>
        <w:rPr/>
        <w:t>capability)</w:t>
      </w:r>
      <w:r>
        <w:rPr>
          <w:w w:val="100"/>
        </w:rPr>
        <w:t> </w:t>
      </w:r>
      <w:r>
        <w:rPr/>
        <w:t>five thermal imaging cameras, located across the</w:t>
      </w:r>
      <w:r>
        <w:rPr>
          <w:spacing w:val="-16"/>
        </w:rPr>
        <w:t> </w:t>
      </w:r>
      <w:r>
        <w:rPr/>
        <w:t>District</w:t>
      </w:r>
      <w:r>
        <w:rPr>
          <w:w w:val="100"/>
        </w:rPr>
        <w:t> </w:t>
      </w:r>
      <w:r>
        <w:rPr/>
        <w:t>bulk water</w:t>
      </w:r>
      <w:r>
        <w:rPr>
          <w:spacing w:val="-2"/>
        </w:rPr>
        <w:t> </w:t>
      </w:r>
      <w:r>
        <w:rPr/>
        <w:t>tanker</w:t>
      </w:r>
    </w:p>
    <w:p>
      <w:pPr>
        <w:pStyle w:val="BodyText"/>
        <w:spacing w:line="240" w:lineRule="auto" w:before="2"/>
        <w:ind w:left="1596" w:right="414" w:firstLine="0"/>
        <w:jc w:val="left"/>
      </w:pPr>
      <w:r>
        <w:rPr/>
        <w:t>CFA Health Support</w:t>
      </w:r>
      <w:r>
        <w:rPr>
          <w:spacing w:val="-7"/>
        </w:rPr>
        <w:t> </w:t>
      </w:r>
      <w:r>
        <w:rPr/>
        <w:t>Team.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0" w:after="0"/>
        <w:ind w:left="946" w:right="414" w:hanging="7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Other resources available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include:</w:t>
      </w:r>
    </w:p>
    <w:p>
      <w:pPr>
        <w:pStyle w:val="BodyText"/>
        <w:spacing w:line="240" w:lineRule="auto" w:before="132"/>
        <w:ind w:left="1596" w:right="414" w:firstLine="0"/>
        <w:jc w:val="left"/>
      </w:pPr>
      <w:r>
        <w:rPr/>
        <w:pict>
          <v:group style="position:absolute;margin-left:127.220001pt;margin-top:6.033643pt;width:10.1pt;height:87.65pt;mso-position-horizontal-relative:page;mso-position-vertical-relative:paragraph;z-index:1600" coordorigin="2544,121" coordsize="202,1753">
            <v:shape style="position:absolute;left:2544;top:121;width:202;height:271" type="#_x0000_t75" stroked="false">
              <v:imagedata r:id="rId12" o:title=""/>
            </v:shape>
            <v:shape style="position:absolute;left:2544;top:401;width:202;height:271" type="#_x0000_t75" stroked="false">
              <v:imagedata r:id="rId12" o:title=""/>
            </v:shape>
            <v:shape style="position:absolute;left:2544;top:680;width:202;height:271" type="#_x0000_t75" stroked="false">
              <v:imagedata r:id="rId12" o:title=""/>
            </v:shape>
            <v:shape style="position:absolute;left:2544;top:1001;width:202;height:271" type="#_x0000_t75" stroked="false">
              <v:imagedata r:id="rId12" o:title=""/>
            </v:shape>
            <v:shape style="position:absolute;left:2544;top:1321;width:202;height:271" type="#_x0000_t75" stroked="false">
              <v:imagedata r:id="rId12" o:title=""/>
            </v:shape>
            <v:shape style="position:absolute;left:2544;top:1602;width:202;height:271" type="#_x0000_t75" stroked="false">
              <v:imagedata r:id="rId12" o:title=""/>
            </v:shape>
            <w10:wrap type="none"/>
          </v:group>
        </w:pict>
      </w:r>
      <w:r>
        <w:rPr/>
        <w:t>CFA aerial</w:t>
      </w:r>
      <w:r>
        <w:rPr>
          <w:spacing w:val="-3"/>
        </w:rPr>
        <w:t> </w:t>
      </w:r>
      <w:r>
        <w:rPr/>
        <w:t>appliances</w:t>
      </w:r>
    </w:p>
    <w:p>
      <w:pPr>
        <w:pStyle w:val="BodyText"/>
        <w:spacing w:line="249" w:lineRule="auto" w:before="12"/>
        <w:ind w:left="1596" w:right="2721" w:firstLine="0"/>
        <w:jc w:val="left"/>
      </w:pPr>
      <w:r>
        <w:rPr/>
        <w:t>DELWP (tankers, slip-ons, incident</w:t>
      </w:r>
      <w:r>
        <w:rPr>
          <w:spacing w:val="-9"/>
        </w:rPr>
        <w:t> </w:t>
      </w:r>
      <w:r>
        <w:rPr/>
        <w:t>management)</w:t>
      </w:r>
      <w:r>
        <w:rPr>
          <w:w w:val="100"/>
        </w:rPr>
        <w:t> </w:t>
      </w:r>
      <w:r>
        <w:rPr/>
        <w:t>Geelong Ladder Platform (42M</w:t>
      </w:r>
      <w:r>
        <w:rPr>
          <w:spacing w:val="-7"/>
        </w:rPr>
        <w:t> </w:t>
      </w:r>
      <w:r>
        <w:rPr/>
        <w:t>Bronto)</w:t>
      </w:r>
    </w:p>
    <w:p>
      <w:pPr>
        <w:pStyle w:val="BodyText"/>
        <w:spacing w:line="285" w:lineRule="auto" w:before="42"/>
        <w:ind w:left="1596" w:right="4483" w:firstLine="0"/>
        <w:jc w:val="left"/>
      </w:pPr>
      <w:r>
        <w:rPr/>
        <w:t>Corio Teleboom (17M</w:t>
      </w:r>
      <w:r>
        <w:rPr>
          <w:spacing w:val="-7"/>
        </w:rPr>
        <w:t> </w:t>
      </w:r>
      <w:r>
        <w:rPr/>
        <w:t>Ladder)</w:t>
      </w:r>
      <w:r>
        <w:rPr>
          <w:w w:val="100"/>
        </w:rPr>
        <w:t> </w:t>
      </w:r>
      <w:r>
        <w:rPr/>
        <w:t>aircraft</w:t>
      </w:r>
    </w:p>
    <w:p>
      <w:pPr>
        <w:pStyle w:val="BodyText"/>
        <w:spacing w:line="230" w:lineRule="exact" w:before="0"/>
        <w:ind w:left="1596" w:right="414" w:firstLine="0"/>
        <w:jc w:val="left"/>
      </w:pPr>
      <w:r>
        <w:rPr/>
        <w:t>helitanks </w:t>
      </w:r>
      <w:r>
        <w:rPr>
          <w:rFonts w:ascii="Calibri" w:hAnsi="Calibri" w:cs="Calibri" w:eastAsia="Calibri"/>
        </w:rPr>
        <w:t>– </w:t>
      </w:r>
      <w:r>
        <w:rPr/>
        <w:t>water bombers on request and subject to</w:t>
      </w:r>
      <w:r>
        <w:rPr>
          <w:spacing w:val="-11"/>
        </w:rPr>
        <w:t> </w:t>
      </w:r>
      <w:r>
        <w:rPr/>
        <w:t>availability.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0" w:after="0"/>
        <w:ind w:left="946" w:right="150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In the event of structure fires, HAZMAT and rescue events, additional specialised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appliances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drawn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Belmont,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Geelong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surrounding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suburbs,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Barwon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State Emergency Service. This can include Heavy HAZMAT equipment from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z w:val="22"/>
        </w:rPr>
        <w:t>Corio.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414"/>
        <w:jc w:val="left"/>
        <w:rPr>
          <w:b w:val="0"/>
          <w:bCs w:val="0"/>
        </w:rPr>
      </w:pPr>
      <w:bookmarkStart w:name="_TOC_250000" w:id="18"/>
      <w:r>
        <w:rPr>
          <w:color w:val="1664A0"/>
        </w:rPr>
        <w:t>Next</w:t>
      </w:r>
      <w:r>
        <w:rPr>
          <w:color w:val="1664A0"/>
          <w:spacing w:val="-3"/>
        </w:rPr>
        <w:t> </w:t>
      </w:r>
      <w:r>
        <w:rPr>
          <w:color w:val="1664A0"/>
        </w:rPr>
        <w:t>Steps</w:t>
      </w:r>
      <w:bookmarkEnd w:id="18"/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99" w:after="0"/>
        <w:ind w:left="946" w:right="148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 CFA and Alcoa are currently in discussions to update the Alcoa Anglesea CFA PIP to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take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account of the closures of the Anglesea Coal Mine and Anglesea Power Station.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discussions have included consideration of access, security, radio communications,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training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and safety at the site after 31 August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2015.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0" w:after="0"/>
        <w:ind w:left="946" w:right="147" w:hanging="79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CFA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Alcoa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meeting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3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August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2015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consider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what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amendments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Alcoa Anglesea CFA PIP may be required due to the closure of the Anglesea</w:t>
      </w:r>
      <w:r>
        <w:rPr>
          <w:rFonts w:ascii="Calibri"/>
          <w:spacing w:val="-18"/>
          <w:sz w:val="22"/>
        </w:rPr>
        <w:t> </w:t>
      </w:r>
      <w:r>
        <w:rPr>
          <w:rFonts w:ascii="Calibri"/>
          <w:sz w:val="22"/>
        </w:rPr>
        <w:t>Mine.</w:t>
      </w:r>
    </w:p>
    <w:p>
      <w:pPr>
        <w:spacing w:after="0" w:line="240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1125" w:top="1480" w:bottom="1320" w:left="1260" w:right="12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213.699982pt;width:595.6pt;height:628.5pt;mso-position-horizontal-relative:page;mso-position-vertical-relative:page;z-index:1624" coordorigin="0,4274" coordsize="11912,12570">
            <v:shape style="position:absolute;left:0;top:5189;width:11906;height:1192" type="#_x0000_t75" stroked="false">
              <v:imagedata r:id="rId27" o:title=""/>
            </v:shape>
            <v:group style="position:absolute;left:0;top:5535;width:11907;height:10515" coordorigin="0,5535" coordsize="11907,10515">
              <v:shape style="position:absolute;left:0;top:5535;width:11907;height:10515" coordorigin="0,5535" coordsize="11907,10515" path="m0,16050l11906,16050,11906,5535,0,5535,0,16050xe" filled="true" fillcolor="#1664a0" stroked="false">
                <v:path arrowok="t"/>
                <v:fill type="solid"/>
              </v:shape>
            </v:group>
            <v:group style="position:absolute;left:0;top:16050;width:11906;height:789" coordorigin="0,16050" coordsize="11906,789">
              <v:shape style="position:absolute;left:0;top:16050;width:11906;height:789" coordorigin="0,16050" coordsize="11906,789" path="m11906,16838l11906,16050,0,16050,0,16838,11906,16838xe" filled="true" fillcolor="#00547d" stroked="false">
                <v:path arrowok="t"/>
                <v:fill type="solid"/>
              </v:shape>
            </v:group>
            <v:group style="position:absolute;left:8103;top:4274;width:3804;height:3804" coordorigin="8103,4274" coordsize="3804,3804">
              <v:shape style="position:absolute;left:8103;top:4274;width:3804;height:3804" coordorigin="8103,4274" coordsize="3804,3804" path="m11906,4274l8103,4274,11906,8077,11906,4274xe" filled="true" fillcolor="#ffffff" stroked="false">
                <v:path arrowok="t"/>
                <v:fill type="solid"/>
              </v:shape>
              <v:shape style="position:absolute;left:461;top:15517;width:1584;height:1080" type="#_x0000_t75" stroked="false">
                <v:imagedata r:id="rId5" o:title=""/>
              </v:shape>
            </v:group>
            <v:group style="position:absolute;left:7075;top:14634;width:1965;height:2205" coordorigin="7075,14634" coordsize="1965,2205">
              <v:shape style="position:absolute;left:7075;top:14634;width:1965;height:2205" coordorigin="7075,14634" coordsize="1965,2205" path="m7075,16838l9040,14634e" filled="false" stroked="true" strokeweight=".5pt" strokecolor="#ffffff">
                <v:path arrowok="t"/>
              </v:shape>
            </v:group>
            <v:group style="position:absolute;left:7323;top:14634;width:1965;height:2205" coordorigin="7323,14634" coordsize="1965,2205">
              <v:shape style="position:absolute;left:7323;top:14634;width:1965;height:2205" coordorigin="7323,14634" coordsize="1965,2205" path="m7323,16838l9287,14634e" filled="false" stroked="true" strokeweight=".5pt" strokecolor="#ffffff">
                <v:path arrowok="t"/>
              </v:shape>
            </v:group>
            <v:group style="position:absolute;left:7570;top:14634;width:1965;height:2205" coordorigin="7570,14634" coordsize="1965,2205">
              <v:shape style="position:absolute;left:7570;top:14634;width:1965;height:2205" coordorigin="7570,14634" coordsize="1965,2205" path="m7570,16838l9534,14634e" filled="false" stroked="true" strokeweight=".5pt" strokecolor="#ffffff">
                <v:path arrowok="t"/>
              </v:shape>
            </v:group>
            <v:group style="position:absolute;left:7817;top:14634;width:1965;height:2205" coordorigin="7817,14634" coordsize="1965,2205">
              <v:shape style="position:absolute;left:7817;top:14634;width:1965;height:2205" coordorigin="7817,14634" coordsize="1965,2205" path="m7817,16838l9782,14634e" filled="false" stroked="true" strokeweight=".5pt" strokecolor="#ffffff">
                <v:path arrowok="t"/>
              </v:shape>
            </v:group>
            <v:group style="position:absolute;left:8051;top:14634;width:1965;height:2205" coordorigin="8051,14634" coordsize="1965,2205">
              <v:shape style="position:absolute;left:8051;top:14634;width:1965;height:2205" coordorigin="8051,14634" coordsize="1965,2205" path="m8051,16838l10016,14634e" filled="false" stroked="true" strokeweight=".5pt" strokecolor="#ffffff">
                <v:path arrowok="t"/>
              </v:shape>
            </v:group>
            <v:group style="position:absolute;left:8299;top:14634;width:1965;height:2205" coordorigin="8299,14634" coordsize="1965,2205">
              <v:shape style="position:absolute;left:8299;top:14634;width:1965;height:2205" coordorigin="8299,14634" coordsize="1965,2205" path="m8299,16838l10263,14634e" filled="false" stroked="true" strokeweight=".5pt" strokecolor="#ffffff">
                <v:path arrowok="t"/>
              </v:shape>
            </v:group>
            <v:group style="position:absolute;left:8546;top:14634;width:1965;height:2205" coordorigin="8546,14634" coordsize="1965,2205">
              <v:shape style="position:absolute;left:8546;top:14634;width:1965;height:2205" coordorigin="8546,14634" coordsize="1965,2205" path="m8546,16838l10510,14634e" filled="false" stroked="true" strokeweight=".5pt" strokecolor="#ffffff">
                <v:path arrowok="t"/>
              </v:shape>
            </v:group>
            <v:group style="position:absolute;left:8793;top:14634;width:1965;height:2205" coordorigin="8793,14634" coordsize="1965,2205">
              <v:shape style="position:absolute;left:8793;top:14634;width:1965;height:2205" coordorigin="8793,14634" coordsize="1965,2205" path="m8793,16838l10758,14634e" filled="false" stroked="true" strokeweight=".5pt" strokecolor="#ffffff">
                <v:path arrowok="t"/>
              </v:shape>
            </v:group>
            <v:group style="position:absolute;left:9040;top:14634;width:1965;height:2205" coordorigin="9040,14634" coordsize="1965,2205">
              <v:shape style="position:absolute;left:9040;top:14634;width:1965;height:2205" coordorigin="9040,14634" coordsize="1965,2205" path="m9040,16838l11005,14634e" filled="false" stroked="true" strokeweight=".5pt" strokecolor="#ffffff">
                <v:path arrowok="t"/>
              </v:shape>
            </v:group>
            <v:group style="position:absolute;left:9288;top:14634;width:1965;height:2205" coordorigin="9288,14634" coordsize="1965,2205">
              <v:shape style="position:absolute;left:9288;top:14634;width:1965;height:2205" coordorigin="9288,14634" coordsize="1965,2205" path="m9288,16838l11252,14634e" filled="false" stroked="true" strokeweight=".5pt" strokecolor="#ffffff">
                <v:path arrowok="t"/>
              </v:shape>
            </v:group>
            <v:group style="position:absolute;left:9535;top:14634;width:1965;height:2205" coordorigin="9535,14634" coordsize="1965,2205">
              <v:shape style="position:absolute;left:9535;top:14634;width:1965;height:2205" coordorigin="9535,14634" coordsize="1965,2205" path="m9535,16838l11499,14634e" filled="false" stroked="true" strokeweight=".5pt" strokecolor="#ffffff">
                <v:path arrowok="t"/>
              </v:shape>
            </v:group>
            <v:group style="position:absolute;left:9782;top:14634;width:1965;height:2205" coordorigin="9782,14634" coordsize="1965,2205">
              <v:shape style="position:absolute;left:9782;top:14634;width:1965;height:2205" coordorigin="9782,14634" coordsize="1965,2205" path="m9782,16838l11747,14634e" filled="false" stroked="true" strokeweight=".5pt" strokecolor="#ffffff">
                <v:path arrowok="t"/>
              </v:shape>
            </v:group>
            <v:group style="position:absolute;left:10029;top:14732;width:1878;height:2107" coordorigin="10029,14732" coordsize="1878,2107">
              <v:shape style="position:absolute;left:10029;top:14732;width:1878;height:2107" coordorigin="10029,14732" coordsize="1878,2107" path="m10029,16838l11906,14732e" filled="false" stroked="true" strokeweight=".5pt" strokecolor="#ffffff">
                <v:path arrowok="t"/>
              </v:shape>
            </v:group>
            <v:group style="position:absolute;left:10277;top:15010;width:1630;height:1829" coordorigin="10277,15010" coordsize="1630,1829">
              <v:shape style="position:absolute;left:10277;top:15010;width:1630;height:1829" coordorigin="10277,15010" coordsize="1630,1829" path="m10277,16838l11906,15010e" filled="false" stroked="true" strokeweight=".5pt" strokecolor="#ffffff">
                <v:path arrowok="t"/>
              </v:shape>
            </v:group>
            <v:group style="position:absolute;left:10524;top:15287;width:1383;height:1552" coordorigin="10524,15287" coordsize="1383,1552">
              <v:shape style="position:absolute;left:10524;top:15287;width:1383;height:1552" coordorigin="10524,15287" coordsize="1383,1552" path="m10524,16838l11906,15287e" filled="false" stroked="true" strokeweight=".5pt" strokecolor="#ffffff">
                <v:path arrowok="t"/>
              </v:shape>
            </v:group>
            <v:group style="position:absolute;left:10771;top:15565;width:1136;height:1274" coordorigin="10771,15565" coordsize="1136,1274">
              <v:shape style="position:absolute;left:10771;top:15565;width:1136;height:1274" coordorigin="10771,15565" coordsize="1136,1274" path="m10771,16838l11906,15565e" filled="false" stroked="true" strokeweight=".5pt" strokecolor="#ffffff">
                <v:path arrowok="t"/>
              </v:shape>
            </v:group>
            <v:group style="position:absolute;left:11005;top:15827;width:902;height:1012" coordorigin="11005,15827" coordsize="902,1012">
              <v:shape style="position:absolute;left:11005;top:15827;width:902;height:1012" coordorigin="11005,15827" coordsize="902,1012" path="m11005,16838l11906,15827e" filled="false" stroked="true" strokeweight=".5pt" strokecolor="#ffffff">
                <v:path arrowok="t"/>
              </v:shape>
            </v:group>
            <v:group style="position:absolute;left:11253;top:16105;width:654;height:734" coordorigin="11253,16105" coordsize="654,734">
              <v:shape style="position:absolute;left:11253;top:16105;width:654;height:734" coordorigin="11253,16105" coordsize="654,734" path="m11253,16838l11906,16105e" filled="false" stroked="true" strokeweight=".5pt" strokecolor="#ffffff">
                <v:path arrowok="t"/>
              </v:shape>
            </v:group>
            <v:group style="position:absolute;left:11500;top:16382;width:407;height:457" coordorigin="11500,16382" coordsize="407,457">
              <v:shape style="position:absolute;left:11500;top:16382;width:407;height:457" coordorigin="11500,16382" coordsize="407,457" path="m11500,16838l11906,16382e" filled="false" stroked="true" strokeweight=".5pt" strokecolor="#ffffff">
                <v:path arrowok="t"/>
              </v:shape>
            </v:group>
            <v:group style="position:absolute;left:11747;top:16660;width:160;height:179" coordorigin="11747,16660" coordsize="160,179">
              <v:shape style="position:absolute;left:11747;top:16660;width:160;height:179" coordorigin="11747,16660" coordsize="160,179" path="m11747,16838l11906,16660e" filled="false" stroked="true" strokeweight=".5pt" strokecolor="#ffffff">
                <v:path arrowok="t"/>
              </v:shape>
            </v:group>
            <v:group style="position:absolute;left:6828;top:14634;width:1965;height:2205" coordorigin="6828,14634" coordsize="1965,2205">
              <v:shape style="position:absolute;left:6828;top:14634;width:1965;height:2205" coordorigin="6828,14634" coordsize="1965,2205" path="m6828,16838l8793,14634e" filled="false" stroked="true" strokeweight=".5pt" strokecolor="#ffffff">
                <v:path arrowok="t"/>
              </v:shape>
            </v:group>
            <v:group style="position:absolute;left:6581;top:14634;width:1965;height:2205" coordorigin="6581,14634" coordsize="1965,2205">
              <v:shape style="position:absolute;left:6581;top:14634;width:1965;height:2205" coordorigin="6581,14634" coordsize="1965,2205" path="m6581,16838l8545,14634e" filled="false" stroked="true" strokeweight=".5pt" strokecolor="#ffffff">
                <v:path arrowok="t"/>
              </v:shape>
            </v:group>
            <w10:wrap type="none"/>
          </v:group>
        </w:pict>
      </w:r>
    </w:p>
    <w:sectPr>
      <w:footerReference w:type="default" r:id="rId26"/>
      <w:pgSz w:w="11910" w:h="16840"/>
      <w:pgMar w:footer="0" w:header="0" w:top="15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143997pt;margin-top:772.055969pt;width:457.05pt;height:.1pt;mso-position-horizontal-relative:page;mso-position-vertical-relative:page;z-index:-36688" coordorigin="1383,15441" coordsize="9141,2">
          <v:shape style="position:absolute;left:1383;top:15441;width:9141;height:2" coordorigin="1383,15441" coordsize="9141,0" path="m1383,15441l10523,15441e" filled="false" stroked="true" strokeweight=".96002pt" strokecolor="#4194d2">
            <v:path arrowok="t"/>
          </v:shape>
          <w10:wrap type="none"/>
        </v:group>
      </w:pict>
    </w:r>
    <w:r>
      <w:rPr/>
      <w:pict>
        <v:shape style="position:absolute;margin-left:493.980011pt;margin-top:774.656006pt;width:32.75pt;height:13.05pt;mso-position-horizontal-relative:page;mso-position-vertical-relative:page;z-index:-3666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64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143997pt;margin-top:772.055969pt;width:457.05pt;height:.1pt;mso-position-horizontal-relative:page;mso-position-vertical-relative:page;z-index:-36616" coordorigin="1383,15441" coordsize="9141,2">
          <v:shape style="position:absolute;left:1383;top:15441;width:9141;height:2" coordorigin="1383,15441" coordsize="9141,0" path="m1383,15441l10523,15441e" filled="false" stroked="true" strokeweight=".96002pt" strokecolor="#4194d2">
            <v:path arrowok="t"/>
          </v:shape>
          <w10:wrap type="none"/>
        </v:group>
      </w:pict>
    </w:r>
    <w:r>
      <w:rPr/>
      <w:pict>
        <v:shape style="position:absolute;margin-left:488.459991pt;margin-top:774.656006pt;width:37.4pt;height:13.05pt;mso-position-horizontal-relative:page;mso-position-vertical-relative:page;z-index:-3659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56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8.459991pt;margin-top:774.656006pt;width:38.450pt;height:13.05pt;mso-position-horizontal-relative:page;mso-position-vertical-relative:page;z-index:-3654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52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9.300003pt;margin-top:757.915955pt;width:28.65pt;height:14.4pt;mso-position-horizontal-relative:page;mso-position-vertical-relative:page;z-index:-36496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w w:val="99"/>
                    <w:position w:val="10"/>
                    <w:sz w:val="13"/>
                  </w:rPr>
                  <w:t>1</w:t>
                </w:r>
                <w:r>
                  <w:rPr>
                    <w:rFonts w:ascii="Calibri"/>
                    <w:w w:val="99"/>
                    <w:position w:val="10"/>
                    <w:sz w:val="13"/>
                  </w:rPr>
                  <w:t>2</w:t>
                </w:r>
                <w:r>
                  <w:rPr>
                    <w:rFonts w:ascii="Calibri"/>
                    <w:position w:val="10"/>
                    <w:sz w:val="13"/>
                  </w:rPr>
                  <w:t> </w:t>
                </w:r>
                <w:r>
                  <w:rPr>
                    <w:rFonts w:ascii="Calibri"/>
                    <w:spacing w:val="-15"/>
                    <w:position w:val="10"/>
                    <w:sz w:val="13"/>
                  </w:rPr>
                  <w:t> </w:t>
                </w:r>
                <w:r>
                  <w:rPr>
                    <w:rFonts w:ascii="Calibri"/>
                    <w:w w:val="99"/>
                    <w:sz w:val="20"/>
                  </w:rPr>
                  <w:t>Ib</w:t>
                </w:r>
                <w:r>
                  <w:rPr>
                    <w:rFonts w:ascii="Calibri"/>
                    <w:w w:val="99"/>
                    <w:sz w:val="20"/>
                  </w:rPr>
                  <w:t>id</w:t>
                </w:r>
                <w:r>
                  <w:rPr>
                    <w:rFonts w:ascii="Calibri"/>
                    <w:w w:val="99"/>
                    <w:sz w:val="20"/>
                  </w:rPr>
                  <w:t>.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459991pt;margin-top:774.656006pt;width:38.450pt;height:13.05pt;mso-position-horizontal-relative:page;mso-position-vertical-relative:page;z-index:-3647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44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9.300003pt;margin-top:757.915955pt;width:28.65pt;height:14.4pt;mso-position-horizontal-relative:page;mso-position-vertical-relative:page;z-index:-36424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w w:val="99"/>
                    <w:position w:val="10"/>
                    <w:sz w:val="13"/>
                  </w:rPr>
                  <w:t>1</w:t>
                </w:r>
                <w:r>
                  <w:rPr>
                    <w:rFonts w:ascii="Calibri"/>
                    <w:w w:val="99"/>
                    <w:position w:val="10"/>
                    <w:sz w:val="13"/>
                  </w:rPr>
                  <w:t>5</w:t>
                </w:r>
                <w:r>
                  <w:rPr>
                    <w:rFonts w:ascii="Calibri"/>
                    <w:position w:val="10"/>
                    <w:sz w:val="13"/>
                  </w:rPr>
                  <w:t> </w:t>
                </w:r>
                <w:r>
                  <w:rPr>
                    <w:rFonts w:ascii="Calibri"/>
                    <w:spacing w:val="-15"/>
                    <w:position w:val="10"/>
                    <w:sz w:val="13"/>
                  </w:rPr>
                  <w:t> </w:t>
                </w:r>
                <w:r>
                  <w:rPr>
                    <w:rFonts w:ascii="Calibri"/>
                    <w:w w:val="99"/>
                    <w:sz w:val="20"/>
                  </w:rPr>
                  <w:t>Ib</w:t>
                </w:r>
                <w:r>
                  <w:rPr>
                    <w:rFonts w:ascii="Calibri"/>
                    <w:w w:val="99"/>
                    <w:sz w:val="20"/>
                  </w:rPr>
                  <w:t>id</w:t>
                </w:r>
                <w:r>
                  <w:rPr>
                    <w:rFonts w:ascii="Calibri"/>
                    <w:w w:val="99"/>
                    <w:sz w:val="20"/>
                  </w:rPr>
                  <w:t>.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459991pt;margin-top:774.656006pt;width:38.450pt;height:13.05pt;mso-position-horizontal-relative:page;mso-position-vertical-relative:page;z-index:-36400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37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8.459991pt;margin-top:774.656006pt;width:38.450pt;height:13.05pt;mso-position-horizontal-relative:page;mso-position-vertical-relative:page;z-index:-3635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3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143997pt;margin-top:772.055969pt;width:457.05pt;height:.1pt;mso-position-horizontal-relative:page;mso-position-vertical-relative:page;z-index:-36304" coordorigin="1383,15441" coordsize="9141,2">
          <v:shape style="position:absolute;left:1383;top:15441;width:9141;height:2" coordorigin="1383,15441" coordsize="9141,0" path="m1383,15441l10523,15441e" filled="false" stroked="true" strokeweight=".96002pt" strokecolor="#4194d2">
            <v:path arrowok="t"/>
          </v:shape>
          <w10:wrap type="none"/>
        </v:group>
      </w:pict>
    </w:r>
    <w:r>
      <w:rPr/>
      <w:pict>
        <v:shape style="position:absolute;margin-left:488.459991pt;margin-top:774.656006pt;width:37.4pt;height:13.05pt;mso-position-horizontal-relative:page;mso-position-vertical-relative:page;z-index:-36280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25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8.459991pt;margin-top:774.656006pt;width:38.450pt;height:13.05pt;mso-position-horizontal-relative:page;mso-position-vertical-relative:page;z-index:-3623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584pt;margin-top:787.585999pt;width:249pt;height:19.8pt;mso-position-horizontal-relative:page;mso-position-vertical-relative:page;z-index:-3620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t>Ha</w:t>
                </w:r>
                <w:r>
                  <w:rPr>
                    <w:rFonts w:ascii="Calibri"/>
                    <w:spacing w:val="-2"/>
                    <w:w w:val="100"/>
                    <w:sz w:val="16"/>
                  </w:rPr>
                  <w:t>z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l</w:t>
                </w:r>
                <w:r>
                  <w:rPr>
                    <w:rFonts w:ascii="Calibri"/>
                    <w:w w:val="100"/>
                    <w:sz w:val="16"/>
                  </w:rPr>
                  <w:t>w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C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o</w:t>
                </w:r>
                <w:r>
                  <w:rPr>
                    <w:rFonts w:ascii="Calibri"/>
                    <w:w w:val="100"/>
                    <w:sz w:val="16"/>
                  </w:rPr>
                  <w:t>al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M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Fi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q</w:t>
                </w:r>
                <w:r>
                  <w:rPr>
                    <w:rFonts w:ascii="Calibri"/>
                    <w:spacing w:val="1"/>
                    <w:w w:val="100"/>
                    <w:sz w:val="16"/>
                  </w:rPr>
                  <w:t>u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i</w:t>
                </w:r>
                <w:r>
                  <w:rPr>
                    <w:rFonts w:ascii="Calibri"/>
                    <w:spacing w:val="-1"/>
                    <w:w w:val="100"/>
                    <w:sz w:val="16"/>
                  </w:rPr>
                  <w:t>r</w:t>
                </w:r>
                <w:r>
                  <w:rPr>
                    <w:rFonts w:ascii="Calibri"/>
                    <w:w w:val="100"/>
                    <w:sz w:val="16"/>
                  </w:rPr>
                  <w:t>y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ub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libri" w:hAnsi="Calibri" w:cs="Calibri" w:eastAsia="Calibri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libri" w:hAnsi="Calibri" w:cs="Calibri" w:eastAsia="Calibri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16"/>
                    <w:szCs w:val="1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o"/>
      <w:lvlJc w:val="left"/>
      <w:pPr>
        <w:ind w:left="2278" w:hanging="360"/>
      </w:pPr>
      <w:rPr>
        <w:rFonts w:hint="default" w:ascii="Courier New" w:hAnsi="Courier New" w:eastAsia="Courier New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6" w:hanging="795"/>
        <w:jc w:val="left"/>
      </w:pPr>
      <w:rPr>
        <w:rFonts w:hint="default" w:ascii="Calibri" w:hAnsi="Calibri" w:eastAsia="Calibri"/>
        <w:color w:val="1664A0"/>
        <w:w w:val="100"/>
        <w:sz w:val="40"/>
        <w:szCs w:val="40"/>
      </w:rPr>
    </w:lvl>
    <w:lvl w:ilvl="1">
      <w:start w:val="1"/>
      <w:numFmt w:val="decimal"/>
      <w:lvlText w:val="%1.%2"/>
      <w:lvlJc w:val="left"/>
      <w:pPr>
        <w:ind w:left="946" w:hanging="795"/>
        <w:jc w:val="left"/>
      </w:pPr>
      <w:rPr>
        <w:rFonts w:hint="default" w:ascii="Calibri" w:hAnsi="Calibri" w:eastAsia="Calibri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65" w:hanging="7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7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0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7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8" w:hanging="567"/>
        <w:jc w:val="left"/>
      </w:pPr>
      <w:rPr>
        <w:rFonts w:hint="default" w:ascii="Calibri" w:hAnsi="Calibri" w:eastAsia="Calibri"/>
        <w:color w:val="4B4B4B"/>
        <w:spacing w:val="-1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63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56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16"/>
      <w:ind w:left="718" w:hanging="567"/>
    </w:pPr>
    <w:rPr>
      <w:rFonts w:ascii="Calibri" w:hAnsi="Calibri" w:eastAsia="Calibri"/>
      <w:sz w:val="28"/>
      <w:szCs w:val="28"/>
    </w:rPr>
  </w:style>
  <w:style w:styleId="TOC2" w:type="paragraph">
    <w:name w:val="TOC 2"/>
    <w:basedOn w:val="Normal"/>
    <w:uiPriority w:val="1"/>
    <w:qFormat/>
    <w:pPr>
      <w:ind w:left="718"/>
    </w:pPr>
    <w:rPr>
      <w:rFonts w:ascii="Calibri" w:hAnsi="Calibri" w:eastAsia="Calibri"/>
      <w:sz w:val="28"/>
      <w:szCs w:val="28"/>
    </w:rPr>
  </w:style>
  <w:style w:styleId="TOC3" w:type="paragraph">
    <w:name w:val="TOC 3"/>
    <w:basedOn w:val="Normal"/>
    <w:uiPriority w:val="1"/>
    <w:qFormat/>
    <w:pPr>
      <w:ind w:left="946"/>
    </w:pPr>
    <w:rPr>
      <w:rFonts w:ascii="Calibri" w:hAnsi="Calibri" w:eastAsia="Calibri"/>
      <w:sz w:val="22"/>
      <w:szCs w:val="22"/>
    </w:rPr>
  </w:style>
  <w:style w:styleId="TOC4" w:type="paragraph">
    <w:name w:val="TOC 4"/>
    <w:basedOn w:val="Normal"/>
    <w:uiPriority w:val="1"/>
    <w:qFormat/>
    <w:pPr>
      <w:spacing w:before="120"/>
      <w:ind w:left="1428"/>
    </w:pPr>
    <w:rPr>
      <w:rFonts w:ascii="Calibri" w:hAnsi="Calibri" w:eastAsia="Calibri"/>
      <w:sz w:val="22"/>
      <w:szCs w:val="22"/>
    </w:rPr>
  </w:style>
  <w:style w:styleId="BodyText" w:type="paragraph">
    <w:name w:val="Body Text"/>
    <w:basedOn w:val="Normal"/>
    <w:uiPriority w:val="1"/>
    <w:qFormat/>
    <w:pPr>
      <w:spacing w:before="120"/>
      <w:ind w:left="946" w:hanging="795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ind w:left="946" w:hanging="795"/>
      <w:outlineLvl w:val="1"/>
    </w:pPr>
    <w:rPr>
      <w:rFonts w:ascii="Calibri" w:hAnsi="Calibri" w:eastAsia="Calibri"/>
      <w:sz w:val="40"/>
      <w:szCs w:val="40"/>
    </w:rPr>
  </w:style>
  <w:style w:styleId="Heading2" w:type="paragraph">
    <w:name w:val="Heading 2"/>
    <w:basedOn w:val="Normal"/>
    <w:uiPriority w:val="1"/>
    <w:qFormat/>
    <w:pPr>
      <w:ind w:left="946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946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hyperlink" Target="mailto:advertising@dpc.vic.gov.au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://creativecommons.org/licenses/by/3.0/au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footer" Target="footer2.xml"/><Relationship Id="rId15" Type="http://schemas.openxmlformats.org/officeDocument/2006/relationships/hyperlink" Target="http://parkweb.vic.gov.au/__data/assets/pdf_file/0005/313277/plan-Anglesea-Heath.pdf" TargetMode="External"/><Relationship Id="rId16" Type="http://schemas.openxmlformats.org/officeDocument/2006/relationships/footer" Target="footer3.xml"/><Relationship Id="rId17" Type="http://schemas.openxmlformats.org/officeDocument/2006/relationships/image" Target="media/image7.png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image" Target="media/image8.png"/><Relationship Id="rId22" Type="http://schemas.openxmlformats.org/officeDocument/2006/relationships/image" Target="media/image9.jpeg"/><Relationship Id="rId23" Type="http://schemas.openxmlformats.org/officeDocument/2006/relationships/image" Target="media/image10.png"/><Relationship Id="rId24" Type="http://schemas.openxmlformats.org/officeDocument/2006/relationships/footer" Target="footer7.xml"/><Relationship Id="rId25" Type="http://schemas.openxmlformats.org/officeDocument/2006/relationships/footer" Target="footer8.xml"/><Relationship Id="rId26" Type="http://schemas.openxmlformats.org/officeDocument/2006/relationships/footer" Target="footer9.xml"/><Relationship Id="rId27" Type="http://schemas.openxmlformats.org/officeDocument/2006/relationships/image" Target="media/image11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2015-07-27T13:28:11Z</dcterms:created>
  <dcterms:modified xsi:type="dcterms:W3CDTF">2015-07-27T13:28:11Z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2015-07-27T00:00:00Z</vt:filetime>
  </property>
</Properties>
</file>