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5"/>
        <w:ind w:left="150" w:right="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Megan Davison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Hazelwood Info Shared Mailbox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Minerals Council of Australia, Victorian Division"s submission - Hazelwood Mine Fire Inquiry</w:t>
      </w:r>
    </w:p>
    <w:p>
      <w:pPr>
        <w:tabs>
          <w:tab w:pos="1679" w:val="left" w:leader="none"/>
        </w:tabs>
        <w:spacing w:before="29"/>
        <w:ind w:left="150" w:right="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24 August 2015 1:23:04 PM</w:t>
      </w:r>
    </w:p>
    <w:p>
      <w:pPr>
        <w:tabs>
          <w:tab w:pos="1679" w:val="left" w:leader="none"/>
        </w:tabs>
        <w:spacing w:before="29"/>
        <w:ind w:left="1680" w:right="6416" w:hanging="1530"/>
        <w:jc w:val="both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Attachments:</w:t>
        <w:tab/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  <w:u w:val="single" w:color="0000FF"/>
        </w:rPr>
        <w:t>image001.png</w:t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image002.png</w:t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image003.png</w:t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image004.png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spacing w:before="0"/>
        <w:ind w:left="1680" w:right="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  <w:u w:val="single" w:color="0000FF"/>
        </w:rPr>
        <w:t>Minerals Council of Australia Victorian Division - Submission - Hazelwood Mine Fire Inquiry - August 2015-</w:t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</w:rPr>
        <w:t> </w:t>
      </w:r>
      <w:r>
        <w:rPr>
          <w:rFonts w:ascii="Tahoma"/>
          <w:color w:val="0000FF"/>
          <w:sz w:val="15"/>
          <w:u w:val="single" w:color="0000FF"/>
        </w:rPr>
        <w:t>Final version.pdf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spacing w:line="240" w:lineRule="auto" w:before="4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exact"/>
        <w:ind w:left="105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position w:val="0"/>
          <w:sz w:val="3"/>
          <w:szCs w:val="3"/>
        </w:rPr>
        <w:pict>
          <v:group style="width:441.75pt;height:1.5pt;mso-position-horizontal-relative:char;mso-position-vertical-relative:line" coordorigin="0,0" coordsize="8835,30">
            <v:group style="position:absolute;left:15;top:15;width:8805;height:2" coordorigin="15,15" coordsize="8805,2">
              <v:shape style="position:absolute;left:15;top:15;width:8805;height:2" coordorigin="15,15" coordsize="8805,0" path="m15,15l8820,15e" filled="false" stroked="true" strokeweight="1.5pt" strokecolor="#818181">
                <v:path arrowok="t"/>
              </v:shape>
            </v:group>
            <v:group style="position:absolute;left:15;top:8;width:8805;height:2" coordorigin="15,8" coordsize="8805,2">
              <v:shape style="position:absolute;left:15;top:8;width:8805;height:2" coordorigin="15,8" coordsize="8805,0" path="m15,8l8820,8e" filled="false" stroked="true" strokeweight=".75pt" strokecolor="#818181">
                <v:path arrowok="t"/>
              </v:shape>
            </v:group>
            <v:group style="position:absolute;left:15;top:23;width:8805;height:2" coordorigin="15,23" coordsize="8805,2">
              <v:shape style="position:absolute;left:15;top:23;width:8805;height:2" coordorigin="15,23" coordsize="8805,0" path="m15,23l8820,23e" filled="false" stroked="true" strokeweight=".75pt" strokecolor="#818181">
                <v:path arrowok="t"/>
              </v:shape>
            </v:group>
            <v:group style="position:absolute;left:15;top:0;width:15;height:30" coordorigin="15,0" coordsize="15,30">
              <v:shape style="position:absolute;left:15;top:0;width:15;height:30" coordorigin="15,0" coordsize="15,30" path="m15,0l15,30,30,15,15,0xe" filled="true" fillcolor="#818181" stroked="false">
                <v:path arrowok="t"/>
                <v:fill type="solid"/>
              </v:shape>
            </v:group>
            <v:group style="position:absolute;left:8805;top:0;width:15;height:30" coordorigin="8805,0" coordsize="15,30">
              <v:shape style="position:absolute;left:8805;top:0;width:15;height:30" coordorigin="8805,0" coordsize="15,30" path="m8820,0l8805,15,8820,30,8820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position w:val="0"/>
          <w:sz w:val="3"/>
          <w:szCs w:val="3"/>
        </w:rPr>
      </w:r>
    </w:p>
    <w:p>
      <w:pPr>
        <w:spacing w:line="240" w:lineRule="auto" w:before="1"/>
        <w:rPr>
          <w:rFonts w:ascii="Tahoma" w:hAnsi="Tahoma" w:cs="Tahoma" w:eastAsia="Tahoma"/>
          <w:sz w:val="9"/>
          <w:szCs w:val="9"/>
        </w:rPr>
      </w:pPr>
    </w:p>
    <w:p>
      <w:pPr>
        <w:spacing w:line="271" w:lineRule="auto" w:before="51"/>
        <w:ind w:left="174" w:right="65" w:hanging="55"/>
        <w:jc w:val="left"/>
        <w:rPr>
          <w:rFonts w:ascii="Calibri Light" w:hAnsi="Calibri Light" w:cs="Calibri Light" w:eastAsia="Calibri Light"/>
          <w:sz w:val="24"/>
          <w:szCs w:val="24"/>
        </w:rPr>
      </w:pP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Please find attached the Minerals Council of Australia, Victorian Division’s submission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21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to</w:t>
      </w:r>
      <w:r>
        <w:rPr>
          <w:rFonts w:ascii="Calibri Light" w:hAnsi="Calibri Light" w:cs="Calibri Light" w:eastAsia="Calibri Light"/>
          <w:b w:val="0"/>
          <w:bCs w:val="0"/>
          <w:color w:val="002060"/>
          <w:w w:val="100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Terms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of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Reference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8-10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5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(Mine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5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Rehabilitation)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2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of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the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5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Board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of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Inquiry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4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into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5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the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5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Hazelwood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1"/>
          <w:w w:val="99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Mine</w:t>
      </w:r>
      <w:r>
        <w:rPr>
          <w:rFonts w:ascii="Calibri Light" w:hAnsi="Calibri Light" w:cs="Calibri Light" w:eastAsia="Calibri Light"/>
          <w:b w:val="0"/>
          <w:bCs w:val="0"/>
          <w:color w:val="002060"/>
          <w:spacing w:val="-2"/>
          <w:sz w:val="24"/>
          <w:szCs w:val="24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002060"/>
          <w:sz w:val="24"/>
          <w:szCs w:val="24"/>
        </w:rPr>
        <w:t>Fire.</w:t>
      </w:r>
      <w:r>
        <w:rPr>
          <w:rFonts w:ascii="Calibri Light" w:hAnsi="Calibri Light" w:cs="Calibri Light" w:eastAsia="Calibri Light"/>
          <w:sz w:val="24"/>
          <w:szCs w:val="24"/>
        </w:rPr>
      </w:r>
    </w:p>
    <w:p>
      <w:pPr>
        <w:spacing w:line="240" w:lineRule="auto" w:before="12"/>
        <w:rPr>
          <w:rFonts w:ascii="Calibri Light" w:hAnsi="Calibri Light" w:cs="Calibri Light" w:eastAsia="Calibri Light"/>
          <w:b w:val="0"/>
          <w:bCs w:val="0"/>
          <w:sz w:val="26"/>
          <w:szCs w:val="26"/>
        </w:rPr>
      </w:pPr>
    </w:p>
    <w:p>
      <w:pPr>
        <w:spacing w:before="0"/>
        <w:ind w:left="120" w:right="65" w:firstLine="0"/>
        <w:jc w:val="left"/>
        <w:rPr>
          <w:rFonts w:ascii="Calibri Light" w:hAnsi="Calibri Light" w:cs="Calibri Light" w:eastAsia="Calibri Light"/>
          <w:sz w:val="24"/>
          <w:szCs w:val="24"/>
        </w:rPr>
      </w:pPr>
      <w:r>
        <w:rPr>
          <w:rFonts w:ascii="Calibri Light"/>
          <w:b w:val="0"/>
          <w:color w:val="002060"/>
          <w:sz w:val="24"/>
        </w:rPr>
        <w:t>Regards</w:t>
      </w:r>
      <w:r>
        <w:rPr>
          <w:rFonts w:ascii="Calibri Light"/>
          <w:sz w:val="24"/>
        </w:rPr>
      </w:r>
    </w:p>
    <w:p>
      <w:pPr>
        <w:spacing w:line="240" w:lineRule="auto" w:before="3"/>
        <w:rPr>
          <w:rFonts w:ascii="Calibri Light" w:hAnsi="Calibri Light" w:cs="Calibri Light" w:eastAsia="Calibri Light"/>
          <w:b w:val="0"/>
          <w:bCs w:val="0"/>
          <w:sz w:val="28"/>
          <w:szCs w:val="28"/>
        </w:rPr>
      </w:pPr>
    </w:p>
    <w:p>
      <w:pPr>
        <w:spacing w:before="0"/>
        <w:ind w:left="120" w:right="65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b/>
          <w:color w:val="415A68"/>
          <w:w w:val="105"/>
          <w:sz w:val="16"/>
        </w:rPr>
        <w:t>Megan</w:t>
      </w:r>
      <w:r>
        <w:rPr>
          <w:rFonts w:ascii="Verdana"/>
          <w:b/>
          <w:color w:val="415A68"/>
          <w:spacing w:val="-27"/>
          <w:w w:val="105"/>
          <w:sz w:val="16"/>
        </w:rPr>
        <w:t> </w:t>
      </w:r>
      <w:r>
        <w:rPr>
          <w:rFonts w:ascii="Verdana"/>
          <w:b/>
          <w:color w:val="415A68"/>
          <w:w w:val="105"/>
          <w:sz w:val="16"/>
        </w:rPr>
        <w:t>Davison</w:t>
      </w:r>
      <w:r>
        <w:rPr>
          <w:rFonts w:ascii="Verdana"/>
          <w:sz w:val="16"/>
        </w:rPr>
      </w:r>
    </w:p>
    <w:p>
      <w:pPr>
        <w:spacing w:before="0"/>
        <w:ind w:left="120" w:right="65" w:firstLine="0"/>
        <w:jc w:val="left"/>
        <w:rPr>
          <w:rFonts w:ascii="Verdana" w:hAnsi="Verdana" w:cs="Verdana" w:eastAsia="Verdana"/>
          <w:sz w:val="16"/>
          <w:szCs w:val="16"/>
        </w:rPr>
      </w:pPr>
      <w:r>
        <w:rPr>
          <w:rFonts w:ascii="Verdana"/>
          <w:w w:val="105"/>
          <w:sz w:val="16"/>
        </w:rPr>
        <w:t>Executive</w:t>
      </w:r>
      <w:r>
        <w:rPr>
          <w:rFonts w:ascii="Verdana"/>
          <w:spacing w:val="-16"/>
          <w:w w:val="105"/>
          <w:sz w:val="16"/>
        </w:rPr>
        <w:t> </w:t>
      </w:r>
      <w:r>
        <w:rPr>
          <w:rFonts w:ascii="Verdana"/>
          <w:w w:val="105"/>
          <w:sz w:val="16"/>
        </w:rPr>
        <w:t>Director</w:t>
      </w:r>
      <w:r>
        <w:rPr>
          <w:rFonts w:ascii="Verdana"/>
          <w:spacing w:val="-16"/>
          <w:w w:val="105"/>
          <w:sz w:val="16"/>
        </w:rPr>
        <w:t> </w:t>
      </w:r>
      <w:r>
        <w:rPr>
          <w:rFonts w:ascii="Verdana"/>
          <w:w w:val="105"/>
          <w:sz w:val="16"/>
        </w:rPr>
        <w:t>-</w:t>
      </w:r>
      <w:r>
        <w:rPr>
          <w:rFonts w:ascii="Verdana"/>
          <w:spacing w:val="-16"/>
          <w:w w:val="105"/>
          <w:sz w:val="16"/>
        </w:rPr>
        <w:t> </w:t>
      </w:r>
      <w:r>
        <w:rPr>
          <w:rFonts w:ascii="Verdana"/>
          <w:w w:val="105"/>
          <w:sz w:val="16"/>
        </w:rPr>
        <w:t>Victorian</w:t>
      </w:r>
      <w:r>
        <w:rPr>
          <w:rFonts w:ascii="Verdana"/>
          <w:spacing w:val="-16"/>
          <w:w w:val="105"/>
          <w:sz w:val="16"/>
        </w:rPr>
        <w:t> </w:t>
      </w:r>
      <w:r>
        <w:rPr>
          <w:rFonts w:ascii="Verdana"/>
          <w:w w:val="105"/>
          <w:sz w:val="16"/>
        </w:rPr>
        <w:t>Division</w:t>
      </w:r>
      <w:r>
        <w:rPr>
          <w:rFonts w:ascii="Verdana"/>
          <w:sz w:val="16"/>
        </w:rPr>
      </w:r>
    </w:p>
    <w:p>
      <w:pPr>
        <w:spacing w:line="240" w:lineRule="auto" w:before="5"/>
        <w:rPr>
          <w:rFonts w:ascii="Verdana" w:hAnsi="Verdana" w:cs="Verdana" w:eastAsia="Verdana"/>
          <w:sz w:val="19"/>
          <w:szCs w:val="19"/>
        </w:rPr>
      </w:pPr>
    </w:p>
    <w:p>
      <w:pPr>
        <w:spacing w:line="20" w:lineRule="exact"/>
        <w:ind w:left="142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23.3pt;height:.8pt;mso-position-horizontal-relative:char;mso-position-vertical-relative:line" coordorigin="0,0" coordsize="6466,16">
            <v:group style="position:absolute;left:8;top:8;width:6450;height:2" coordorigin="8,8" coordsize="6450,2">
              <v:shape style="position:absolute;left:8;top:8;width:6450;height:2" coordorigin="8,8" coordsize="6450,0" path="m8,8l6458,8e" filled="false" stroked="true" strokeweight=".751pt" strokecolor="#818181">
                <v:path arrowok="t"/>
              </v:shape>
            </v:group>
            <v:group style="position:absolute;left:8;top:8;width:6450;height:2" coordorigin="8,8" coordsize="6450,2">
              <v:shape style="position:absolute;left:8;top:8;width:6450;height:2" coordorigin="8,8" coordsize="6450,0" path="m8,8l6458,8e" filled="false" stroked="true" strokeweight=".751pt" strokecolor="#818181">
                <v:path arrowok="t"/>
              </v:shape>
            </v:group>
            <v:group style="position:absolute;left:8;top:0;width:16;height:15" coordorigin="8,0" coordsize="16,15">
              <v:shape style="position:absolute;left:8;top:0;width:16;height:15" coordorigin="8,0" coordsize="16,15" path="m8,0l8,15,23,15,8,0xe" filled="true" fillcolor="#818181" stroked="false">
                <v:path arrowok="t"/>
                <v:fill type="solid"/>
              </v:shape>
            </v:group>
            <v:group style="position:absolute;left:6443;top:0;width:15;height:15" coordorigin="6443,0" coordsize="15,15">
              <v:shape style="position:absolute;left:6443;top:0;width:15;height:15" coordorigin="6443,0" coordsize="15,15" path="m6458,0l6443,15,6458,15,6458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40" w:lineRule="auto" w:before="11"/>
        <w:rPr>
          <w:rFonts w:ascii="Verdana" w:hAnsi="Verdana" w:cs="Verdana" w:eastAsia="Verdana"/>
          <w:sz w:val="11"/>
          <w:szCs w:val="11"/>
        </w:rPr>
      </w:pPr>
    </w:p>
    <w:p>
      <w:pPr>
        <w:spacing w:line="1215" w:lineRule="exact"/>
        <w:ind w:left="150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position w:val="-23"/>
          <w:sz w:val="20"/>
          <w:szCs w:val="20"/>
        </w:rPr>
        <w:pict>
          <v:group style="width:322.9pt;height:60.75pt;mso-position-horizontal-relative:char;mso-position-vertical-relative:line" coordorigin="0,0" coordsize="6458,1215">
            <v:group style="position:absolute;left:840;top:427;width:5610;height:2" coordorigin="840,427" coordsize="5610,2">
              <v:shape style="position:absolute;left:840;top:427;width:5610;height:2" coordorigin="840,427" coordsize="5610,0" path="m840,427l6450,427e" filled="false" stroked="true" strokeweight=".751pt" strokecolor="#818181">
                <v:path arrowok="t"/>
              </v:shape>
            </v:group>
            <v:group style="position:absolute;left:840;top:428;width:5610;height:2" coordorigin="840,428" coordsize="5610,2">
              <v:shape style="position:absolute;left:840;top:428;width:5610;height:2" coordorigin="840,428" coordsize="5610,0" path="m840,428l6450,428e" filled="false" stroked="true" strokeweight=".751pt" strokecolor="#818181">
                <v:path arrowok="t"/>
              </v:shape>
            </v:group>
            <v:group style="position:absolute;left:840;top:420;width:15;height:15" coordorigin="840,420" coordsize="15,15">
              <v:shape style="position:absolute;left:840;top:420;width:15;height:15" coordorigin="840,420" coordsize="15,15" path="m840,420l840,435,855,435,840,420xe" filled="true" fillcolor="#818181" stroked="false">
                <v:path arrowok="t"/>
                <v:fill type="solid"/>
              </v:shape>
            </v:group>
            <v:group style="position:absolute;left:6435;top:420;width:15;height:15" coordorigin="6435,420" coordsize="15,15">
              <v:shape style="position:absolute;left:6435;top:420;width:15;height:15" coordorigin="6435,420" coordsize="15,15" path="m6450,420l6435,435,6450,435,6450,420xe" filled="true" fillcolor="#818181" stroked="false">
                <v:path arrowok="t"/>
                <v:fill type="solid"/>
              </v:shape>
              <v:shape style="position:absolute;left:0;top:0;width:765;height:1215" type="#_x0000_t75" stroked="false">
                <v:imagedata r:id="rId7" o:title=""/>
              </v:shape>
              <v:shape style="position:absolute;left:4335;top:0;width:1440;height:270" type="#_x0000_t75" stroked="false">
                <v:imagedata r:id="rId8" o:title="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40;top:46;width:2892;height:1123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color w:val="415A68"/>
                          <w:sz w:val="18"/>
                        </w:rPr>
                        <w:t>Minerals Council of Australia</w:t>
                      </w:r>
                      <w:r>
                        <w:rPr>
                          <w:rFonts w:ascii="Verdana"/>
                          <w:sz w:val="1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Verdana" w:hAnsi="Verdana" w:cs="Verdana" w:eastAsia="Verdana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137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w w:val="103"/>
                          <w:sz w:val="16"/>
                        </w:rPr>
                        <w:t>8th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Floor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w w:val="103"/>
                          <w:sz w:val="16"/>
                        </w:rPr>
                        <w:t>10-16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Queen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Street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  <w:p>
                      <w:pPr>
                        <w:spacing w:line="189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w w:val="103"/>
                          <w:sz w:val="16"/>
                        </w:rPr>
                        <w:t>Melbourne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VIC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3000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4335;top:614;width:1721;height:556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w w:val="103"/>
                          <w:sz w:val="16"/>
                        </w:rPr>
                        <w:t>T.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+61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8614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1851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w w:val="103"/>
                          <w:sz w:val="16"/>
                        </w:rPr>
                        <w:t>F.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+61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3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9629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8603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  <w:p>
                      <w:pPr>
                        <w:spacing w:line="189" w:lineRule="exact"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/>
                          <w:w w:val="103"/>
                          <w:sz w:val="16"/>
                        </w:rPr>
                        <w:t>M.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+61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4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2105</w:t>
                      </w:r>
                      <w:r>
                        <w:rPr>
                          <w:rFonts w:ascii="Verdana"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rFonts w:ascii="Verdana"/>
                          <w:w w:val="103"/>
                          <w:sz w:val="16"/>
                        </w:rPr>
                        <w:t>3010</w:t>
                      </w:r>
                      <w:r>
                        <w:rPr>
                          <w:rFonts w:ascii="Verdana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Verdana" w:hAnsi="Verdana" w:cs="Verdana" w:eastAsia="Verdana"/>
          <w:position w:val="-23"/>
          <w:sz w:val="20"/>
          <w:szCs w:val="20"/>
        </w:rPr>
      </w:r>
    </w:p>
    <w:p>
      <w:pPr>
        <w:spacing w:line="240" w:lineRule="auto" w:before="4"/>
        <w:rPr>
          <w:rFonts w:ascii="Verdana" w:hAnsi="Verdana" w:cs="Verdana" w:eastAsia="Verdana"/>
          <w:sz w:val="12"/>
          <w:szCs w:val="12"/>
        </w:rPr>
      </w:pPr>
    </w:p>
    <w:p>
      <w:pPr>
        <w:spacing w:line="20" w:lineRule="exact"/>
        <w:ind w:left="142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23.3pt;height:.8pt;mso-position-horizontal-relative:char;mso-position-vertical-relative:line" coordorigin="0,0" coordsize="6466,16">
            <v:group style="position:absolute;left:8;top:8;width:6450;height:2" coordorigin="8,8" coordsize="6450,2">
              <v:shape style="position:absolute;left:8;top:8;width:6450;height:2" coordorigin="8,8" coordsize="6450,0" path="m8,8l6458,8e" filled="false" stroked="true" strokeweight=".751pt" strokecolor="#818181">
                <v:path arrowok="t"/>
              </v:shape>
            </v:group>
            <v:group style="position:absolute;left:8;top:8;width:6450;height:2" coordorigin="8,8" coordsize="6450,2">
              <v:shape style="position:absolute;left:8;top:8;width:6450;height:2" coordorigin="8,8" coordsize="6450,0" path="m8,8l6458,8e" filled="false" stroked="true" strokeweight=".751pt" strokecolor="#818181">
                <v:path arrowok="t"/>
              </v:shape>
            </v:group>
            <v:group style="position:absolute;left:8;top:0;width:16;height:15" coordorigin="8,0" coordsize="16,15">
              <v:shape style="position:absolute;left:8;top:0;width:16;height:15" coordorigin="8,0" coordsize="16,15" path="m8,0l8,15,23,15,8,0xe" filled="true" fillcolor="#818181" stroked="false">
                <v:path arrowok="t"/>
                <v:fill type="solid"/>
              </v:shape>
            </v:group>
            <v:group style="position:absolute;left:6443;top:0;width:15;height:15" coordorigin="6443,0" coordsize="15,15">
              <v:shape style="position:absolute;left:6443;top:0;width:15;height:15" coordorigin="6443,0" coordsize="15,15" path="m6458,0l6443,15,6458,15,6458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line="240" w:lineRule="auto" w:before="10"/>
        <w:rPr>
          <w:rFonts w:ascii="Verdana" w:hAnsi="Verdana" w:cs="Verdana" w:eastAsia="Verdana"/>
          <w:sz w:val="6"/>
          <w:szCs w:val="6"/>
        </w:rPr>
      </w:pPr>
    </w:p>
    <w:p>
      <w:pPr>
        <w:spacing w:line="249" w:lineRule="auto" w:before="81"/>
        <w:ind w:left="197" w:right="2476" w:hanging="48"/>
        <w:jc w:val="left"/>
        <w:rPr>
          <w:rFonts w:ascii="Verdana" w:hAnsi="Verdana" w:cs="Verdana" w:eastAsia="Verdana"/>
          <w:sz w:val="13"/>
          <w:szCs w:val="13"/>
        </w:rPr>
      </w:pPr>
      <w:r>
        <w:rPr>
          <w:rFonts w:ascii="Verdana"/>
          <w:color w:val="9A9A9A"/>
          <w:w w:val="105"/>
          <w:sz w:val="13"/>
        </w:rPr>
        <w:t>This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email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any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files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transmitted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with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it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are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confidential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intended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solely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for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use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of</w:t>
      </w:r>
      <w:r>
        <w:rPr>
          <w:rFonts w:ascii="Verdana"/>
          <w:color w:val="9A9A9A"/>
          <w:w w:val="103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individual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or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entity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to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whom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they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are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addressed.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If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you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have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received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this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email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in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error</w:t>
      </w:r>
      <w:r>
        <w:rPr>
          <w:rFonts w:ascii="Verdana"/>
          <w:color w:val="9A9A9A"/>
          <w:w w:val="103"/>
          <w:sz w:val="13"/>
        </w:rPr>
        <w:t> </w:t>
      </w:r>
      <w:r>
        <w:rPr>
          <w:rFonts w:ascii="Verdana"/>
          <w:color w:val="9A9A9A"/>
          <w:w w:val="105"/>
          <w:sz w:val="13"/>
        </w:rPr>
        <w:t>please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discard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immediately.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Please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note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that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any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views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or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opinions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presented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in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this</w:t>
      </w:r>
      <w:r>
        <w:rPr>
          <w:rFonts w:ascii="Verdana"/>
          <w:color w:val="9A9A9A"/>
          <w:spacing w:val="-5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email</w:t>
      </w:r>
      <w:r>
        <w:rPr>
          <w:rFonts w:ascii="Verdana"/>
          <w:color w:val="9A9A9A"/>
          <w:w w:val="103"/>
          <w:sz w:val="13"/>
        </w:rPr>
        <w:t> </w:t>
      </w:r>
      <w:r>
        <w:rPr>
          <w:rFonts w:ascii="Verdana"/>
          <w:color w:val="9A9A9A"/>
          <w:w w:val="105"/>
          <w:sz w:val="13"/>
        </w:rPr>
        <w:t>are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solely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those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of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author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and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do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not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necessarily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represent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those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of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MCA.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Finally,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w w:val="103"/>
          <w:sz w:val="13"/>
        </w:rPr>
        <w:t> </w:t>
      </w:r>
      <w:r>
        <w:rPr>
          <w:rFonts w:ascii="Verdana"/>
          <w:color w:val="9A9A9A"/>
          <w:w w:val="105"/>
          <w:sz w:val="13"/>
        </w:rPr>
        <w:t>recipient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should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check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this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email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and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attachments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for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presence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of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viruses.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MCA</w:t>
      </w:r>
      <w:r>
        <w:rPr>
          <w:rFonts w:ascii="Verdana"/>
          <w:color w:val="9A9A9A"/>
          <w:w w:val="103"/>
          <w:sz w:val="13"/>
        </w:rPr>
        <w:t> </w:t>
      </w:r>
      <w:r>
        <w:rPr>
          <w:rFonts w:ascii="Verdana"/>
          <w:color w:val="9A9A9A"/>
          <w:w w:val="105"/>
          <w:sz w:val="13"/>
        </w:rPr>
        <w:t>accepts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no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liability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for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damage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caused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by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any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virus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transmitted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by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this</w:t>
      </w:r>
      <w:r>
        <w:rPr>
          <w:rFonts w:ascii="Verdana"/>
          <w:color w:val="9A9A9A"/>
          <w:spacing w:val="-6"/>
          <w:w w:val="105"/>
          <w:sz w:val="13"/>
        </w:rPr>
        <w:t> </w:t>
      </w:r>
      <w:r>
        <w:rPr>
          <w:rFonts w:ascii="Verdana"/>
          <w:color w:val="9A9A9A"/>
          <w:w w:val="105"/>
          <w:sz w:val="13"/>
        </w:rPr>
        <w:t>email.</w:t>
      </w:r>
      <w:r>
        <w:rPr>
          <w:rFonts w:ascii="Verdana"/>
          <w:sz w:val="13"/>
        </w:rPr>
      </w:r>
    </w:p>
    <w:p>
      <w:pPr>
        <w:spacing w:line="240" w:lineRule="auto" w:before="4"/>
        <w:rPr>
          <w:rFonts w:ascii="Verdana" w:hAnsi="Verdana" w:cs="Verdana" w:eastAsia="Verdana"/>
          <w:sz w:val="13"/>
          <w:szCs w:val="13"/>
        </w:rPr>
      </w:pPr>
    </w:p>
    <w:p>
      <w:pPr>
        <w:spacing w:line="20" w:lineRule="exact"/>
        <w:ind w:left="142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 w:hAnsi="Verdana" w:cs="Verdana" w:eastAsia="Verdana"/>
          <w:sz w:val="2"/>
          <w:szCs w:val="2"/>
        </w:rPr>
        <w:pict>
          <v:group style="width:323.3pt;height:.75pt;mso-position-horizontal-relative:char;mso-position-vertical-relative:line" coordorigin="0,0" coordsize="6466,15">
            <v:group style="position:absolute;left:8;top:8;width:6450;height:2" coordorigin="8,8" coordsize="6450,2">
              <v:shape style="position:absolute;left:8;top:8;width:6450;height:2" coordorigin="8,8" coordsize="6450,0" path="m8,8l6458,8e" filled="false" stroked="true" strokeweight=".75pt" strokecolor="#818181">
                <v:path arrowok="t"/>
              </v:shape>
            </v:group>
            <v:group style="position:absolute;left:8;top:8;width:6450;height:2" coordorigin="8,8" coordsize="6450,2">
              <v:shape style="position:absolute;left:8;top:8;width:6450;height:2" coordorigin="8,8" coordsize="6450,0" path="m8,8l6458,8e" filled="false" stroked="true" strokeweight=".75pt" strokecolor="#818181">
                <v:path arrowok="t"/>
              </v:shape>
            </v:group>
            <v:group style="position:absolute;left:8;top:0;width:16;height:15" coordorigin="8,0" coordsize="16,15">
              <v:shape style="position:absolute;left:8;top:0;width:16;height:15" coordorigin="8,0" coordsize="16,15" path="m8,0l8,15,23,15,8,0xe" filled="true" fillcolor="#818181" stroked="false">
                <v:path arrowok="t"/>
                <v:fill type="solid"/>
              </v:shape>
            </v:group>
            <v:group style="position:absolute;left:6443;top:0;width:15;height:15" coordorigin="6443,0" coordsize="15,15">
              <v:shape style="position:absolute;left:6443;top:0;width:15;height:15" coordorigin="6443,0" coordsize="15,15" path="m6458,0l6443,15,6458,15,6458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Verdana" w:hAnsi="Verdana" w:cs="Verdana" w:eastAsia="Verdana"/>
          <w:sz w:val="2"/>
          <w:szCs w:val="2"/>
        </w:rPr>
      </w:r>
    </w:p>
    <w:p>
      <w:pPr>
        <w:spacing w:after="0" w:line="20" w:lineRule="exact"/>
        <w:rPr>
          <w:rFonts w:ascii="Verdana" w:hAnsi="Verdana" w:cs="Verdana" w:eastAsia="Verdana"/>
          <w:sz w:val="2"/>
          <w:szCs w:val="2"/>
        </w:rPr>
        <w:sectPr>
          <w:type w:val="continuous"/>
          <w:pgSz w:w="11900" w:h="16820"/>
          <w:pgMar w:top="1180" w:bottom="280" w:left="1440" w:right="1420"/>
        </w:sectPr>
      </w:pPr>
    </w:p>
    <w:p>
      <w:pPr>
        <w:spacing w:line="240" w:lineRule="auto" w:before="9"/>
        <w:rPr>
          <w:rFonts w:ascii="Verdana" w:hAnsi="Verdana" w:cs="Verdana" w:eastAsia="Verdana"/>
          <w:sz w:val="5"/>
          <w:szCs w:val="5"/>
        </w:rPr>
      </w:pPr>
    </w:p>
    <w:p>
      <w:pPr>
        <w:spacing w:line="2361" w:lineRule="exact"/>
        <w:ind w:left="116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position w:val="-46"/>
          <w:sz w:val="20"/>
          <w:szCs w:val="20"/>
        </w:rPr>
        <w:drawing>
          <wp:inline distT="0" distB="0" distL="0" distR="0">
            <wp:extent cx="719968" cy="1499616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8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position w:val="-46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"/>
        <w:rPr>
          <w:rFonts w:ascii="Verdana" w:hAnsi="Verdana" w:cs="Verdana" w:eastAsia="Verdana"/>
          <w:sz w:val="29"/>
          <w:szCs w:val="29"/>
        </w:rPr>
      </w:pPr>
    </w:p>
    <w:p>
      <w:pPr>
        <w:spacing w:before="43"/>
        <w:ind w:left="0" w:right="137" w:firstLine="0"/>
        <w:jc w:val="right"/>
        <w:rPr>
          <w:rFonts w:ascii="Arial" w:hAnsi="Arial" w:cs="Arial" w:eastAsia="Arial"/>
          <w:sz w:val="44"/>
          <w:szCs w:val="44"/>
        </w:rPr>
      </w:pPr>
      <w:r>
        <w:rPr>
          <w:rFonts w:ascii="Arial"/>
          <w:color w:val="333333"/>
          <w:sz w:val="44"/>
        </w:rPr>
        <w:t>MINERALS COUNCIL OF</w:t>
      </w:r>
      <w:r>
        <w:rPr>
          <w:rFonts w:ascii="Arial"/>
          <w:color w:val="333333"/>
          <w:spacing w:val="-4"/>
          <w:sz w:val="44"/>
        </w:rPr>
        <w:t> </w:t>
      </w:r>
      <w:r>
        <w:rPr>
          <w:rFonts w:ascii="Arial"/>
          <w:color w:val="333333"/>
          <w:sz w:val="44"/>
        </w:rPr>
        <w:t>AUSTRALIA</w:t>
      </w:r>
      <w:r>
        <w:rPr>
          <w:rFonts w:ascii="Arial"/>
          <w:sz w:val="44"/>
        </w:rPr>
      </w:r>
    </w:p>
    <w:p>
      <w:pPr>
        <w:spacing w:before="75"/>
        <w:ind w:left="0" w:right="140" w:firstLine="0"/>
        <w:jc w:val="right"/>
        <w:rPr>
          <w:rFonts w:ascii="Arial" w:hAnsi="Arial" w:cs="Arial" w:eastAsia="Arial"/>
          <w:sz w:val="44"/>
          <w:szCs w:val="44"/>
        </w:rPr>
      </w:pPr>
      <w:r>
        <w:rPr>
          <w:rFonts w:ascii="Arial"/>
          <w:color w:val="333333"/>
          <w:sz w:val="44"/>
        </w:rPr>
        <w:t>VICTORIAN</w:t>
      </w:r>
      <w:r>
        <w:rPr>
          <w:rFonts w:ascii="Arial"/>
          <w:color w:val="333333"/>
          <w:spacing w:val="-5"/>
          <w:sz w:val="44"/>
        </w:rPr>
        <w:t> </w:t>
      </w:r>
      <w:r>
        <w:rPr>
          <w:rFonts w:ascii="Arial"/>
          <w:color w:val="333333"/>
          <w:sz w:val="44"/>
        </w:rPr>
        <w:t>DIVISION</w:t>
      </w:r>
      <w:r>
        <w:rPr>
          <w:rFonts w:ascii="Arial"/>
          <w:sz w:val="44"/>
        </w:rPr>
      </w:r>
    </w:p>
    <w:p>
      <w:pPr>
        <w:spacing w:line="240" w:lineRule="auto" w:before="9"/>
        <w:rPr>
          <w:rFonts w:ascii="Arial" w:hAnsi="Arial" w:cs="Arial" w:eastAsia="Arial"/>
          <w:sz w:val="37"/>
          <w:szCs w:val="37"/>
        </w:rPr>
      </w:pPr>
    </w:p>
    <w:p>
      <w:pPr>
        <w:spacing w:before="0"/>
        <w:ind w:left="0" w:right="135" w:firstLine="0"/>
        <w:jc w:val="righ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333333"/>
          <w:sz w:val="32"/>
        </w:rPr>
        <w:t>SUBMISSION TO HAZELWOOD MINE FIRE</w:t>
      </w:r>
      <w:r>
        <w:rPr>
          <w:rFonts w:ascii="Arial"/>
          <w:color w:val="333333"/>
          <w:spacing w:val="-11"/>
          <w:sz w:val="32"/>
        </w:rPr>
        <w:t> </w:t>
      </w:r>
      <w:r>
        <w:rPr>
          <w:rFonts w:ascii="Arial"/>
          <w:color w:val="333333"/>
          <w:sz w:val="32"/>
        </w:rPr>
        <w:t>INQUIRY</w:t>
      </w:r>
      <w:r>
        <w:rPr>
          <w:rFonts w:ascii="Arial"/>
          <w:sz w:val="32"/>
        </w:rPr>
      </w:r>
    </w:p>
    <w:p>
      <w:pPr>
        <w:spacing w:before="57"/>
        <w:ind w:left="0" w:right="139" w:firstLine="0"/>
        <w:jc w:val="right"/>
        <w:rPr>
          <w:rFonts w:ascii="Arial" w:hAnsi="Arial" w:cs="Arial" w:eastAsia="Arial"/>
          <w:sz w:val="32"/>
          <w:szCs w:val="32"/>
        </w:rPr>
      </w:pPr>
      <w:r>
        <w:rPr>
          <w:rFonts w:ascii="Arial"/>
          <w:color w:val="333333"/>
          <w:w w:val="95"/>
          <w:sz w:val="32"/>
        </w:rPr>
        <w:t>(REOPENED)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20" w:lineRule="exact"/>
        <w:ind w:left="28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8.4pt;height:.5pt;mso-position-horizontal-relative:char;mso-position-vertical-relative:line" coordorigin="0,0" coordsize="8368,10">
            <v:group style="position:absolute;left:5;top:5;width:8359;height:2" coordorigin="5,5" coordsize="8359,2">
              <v:shape style="position:absolute;left:5;top:5;width:8359;height:2" coordorigin="5,5" coordsize="8359,0" path="m5,5l8363,5e" filled="false" stroked="true" strokeweight=".48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0" w:right="135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333333"/>
          <w:sz w:val="24"/>
        </w:rPr>
        <w:t>24 AUGUST</w:t>
      </w:r>
      <w:r>
        <w:rPr>
          <w:rFonts w:ascii="Arial"/>
          <w:color w:val="333333"/>
          <w:spacing w:val="-3"/>
          <w:sz w:val="24"/>
        </w:rPr>
        <w:t> </w:t>
      </w:r>
      <w:r>
        <w:rPr>
          <w:rFonts w:ascii="Arial"/>
          <w:color w:val="333333"/>
          <w:sz w:val="24"/>
        </w:rPr>
        <w:t>2015</w:t>
      </w:r>
      <w:r>
        <w:rPr>
          <w:rFonts w:ascii="Arial"/>
          <w:sz w:val="24"/>
        </w:rPr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pgSz w:w="11900" w:h="16850"/>
          <w:pgMar w:top="1420" w:bottom="280" w:left="1480" w:right="1660"/>
        </w:sectPr>
      </w:pPr>
    </w:p>
    <w:p>
      <w:pPr>
        <w:spacing w:before="39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TABLE 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CONTENTS</w:t>
      </w:r>
      <w:r>
        <w:rPr>
          <w:rFonts w:asci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4pt;height:.5pt;mso-position-horizontal-relative:char;mso-position-vertical-relative:line" coordorigin="0,0" coordsize="9088,10">
            <v:group style="position:absolute;left:5;top:5;width:9079;height:2" coordorigin="5,5" coordsize="9079,2">
              <v:shape style="position:absolute;left:5;top:5;width:9079;height:2" coordorigin="5,5" coordsize="9079,0" path="m5,5l9083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568" w:val="left" w:leader="none"/>
              <w:tab w:pos="9151" w:val="right" w:leader="dot"/>
            </w:tabs>
            <w:spacing w:line="240" w:lineRule="auto" w:before="74" w:after="0"/>
            <w:ind w:left="567" w:right="0" w:hanging="427"/>
            <w:jc w:val="left"/>
          </w:pPr>
          <w:r>
            <w:fldChar w:fldCharType="begin"/>
          </w:r>
          <w:r>
            <w:instrText>TOC \o "1-2" \h \z \u </w:instrText>
          </w:r>
          <w:r>
            <w:fldChar w:fldCharType="separate"/>
          </w:r>
          <w:hyperlink w:history="true" w:anchor="_bookmark0">
            <w:r>
              <w:rPr/>
              <w:t>Executive Summary</w:t>
              <w:tab/>
              <w:t>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68" w:val="left" w:leader="none"/>
              <w:tab w:pos="9151" w:val="right" w:leader="dot"/>
            </w:tabs>
            <w:spacing w:line="240" w:lineRule="auto" w:before="135" w:after="0"/>
            <w:ind w:left="567" w:right="0" w:hanging="427"/>
            <w:jc w:val="left"/>
          </w:pPr>
          <w:hyperlink w:history="true" w:anchor="_bookmark1">
            <w:r>
              <w:rPr/>
              <w:t>Introduction</w:t>
              <w:tab/>
              <w:t>2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 w:before="132"/>
            <w:ind w:right="0"/>
            <w:jc w:val="left"/>
          </w:pPr>
          <w:hyperlink w:history="true" w:anchor="_bookmark2">
            <w:r>
              <w:rPr/>
              <w:t>The Minerals Council of</w:t>
            </w:r>
            <w:r>
              <w:rPr>
                <w:spacing w:val="-3"/>
              </w:rPr>
              <w:t> </w:t>
            </w:r>
            <w:r>
              <w:rPr/>
              <w:t>Australia</w:t>
              <w:tab/>
              <w:t>2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The Victorian minerals</w:t>
            </w:r>
            <w:r>
              <w:rPr>
                <w:spacing w:val="-1"/>
              </w:rPr>
              <w:t> </w:t>
            </w:r>
            <w:r>
              <w:rPr/>
              <w:t>industry</w:t>
              <w:tab/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68" w:val="left" w:leader="none"/>
              <w:tab w:pos="9151" w:val="right" w:leader="dot"/>
            </w:tabs>
            <w:spacing w:line="240" w:lineRule="auto" w:before="135" w:after="0"/>
            <w:ind w:left="567" w:right="0" w:hanging="427"/>
            <w:jc w:val="left"/>
          </w:pPr>
          <w:hyperlink w:history="true" w:anchor="_bookmark4">
            <w:r>
              <w:rPr/>
              <w:t>Minerals industry commitment to sustainable</w:t>
            </w:r>
            <w:r>
              <w:rPr>
                <w:spacing w:val="-5"/>
              </w:rPr>
              <w:t> </w:t>
            </w:r>
            <w:r>
              <w:rPr/>
              <w:t>development</w:t>
              <w:tab/>
              <w:t>4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Rehabilitation and Mine Closure</w:t>
            </w:r>
            <w:r>
              <w:rPr>
                <w:spacing w:val="-2"/>
              </w:rPr>
              <w:t> </w:t>
            </w:r>
            <w:r>
              <w:rPr/>
              <w:t>Policy</w:t>
              <w:tab/>
              <w:t>4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Cumulative Impact Industry</w:t>
            </w:r>
            <w:r>
              <w:rPr>
                <w:spacing w:val="-5"/>
              </w:rPr>
              <w:t> </w:t>
            </w:r>
            <w:r>
              <w:rPr/>
              <w:t>Guide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568" w:val="left" w:leader="none"/>
              <w:tab w:pos="9151" w:val="right" w:leader="dot"/>
            </w:tabs>
            <w:spacing w:line="240" w:lineRule="auto" w:before="135" w:after="0"/>
            <w:ind w:left="567" w:right="0" w:hanging="427"/>
            <w:jc w:val="left"/>
          </w:pPr>
          <w:hyperlink w:history="true" w:anchor="_bookmark7">
            <w:r>
              <w:rPr/>
              <w:t>Policy and regulatory</w:t>
            </w:r>
            <w:r>
              <w:rPr>
                <w:spacing w:val="-6"/>
              </w:rPr>
              <w:t> </w:t>
            </w:r>
            <w:r>
              <w:rPr/>
              <w:t>issues</w:t>
              <w:tab/>
              <w:t>6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/>
              <w:t>Risk</w:t>
            </w:r>
            <w:r>
              <w:rPr>
                <w:spacing w:val="2"/>
              </w:rPr>
              <w:t> </w:t>
            </w:r>
            <w:r>
              <w:rPr/>
              <w:t>Management</w:t>
              <w:tab/>
              <w:t>6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/>
              <w:t>Mine Site</w:t>
            </w:r>
            <w:r>
              <w:rPr>
                <w:spacing w:val="-1"/>
              </w:rPr>
              <w:t> </w:t>
            </w:r>
            <w:r>
              <w:rPr/>
              <w:t>Rehabilitation</w:t>
              <w:tab/>
              <w:t>7</w:t>
            </w:r>
          </w:hyperlink>
        </w:p>
        <w:p>
          <w:pPr>
            <w:pStyle w:val="TOC2"/>
            <w:tabs>
              <w:tab w:pos="9151" w:val="right" w:leader="dot"/>
            </w:tabs>
            <w:spacing w:line="240" w:lineRule="auto" w:before="133"/>
            <w:ind w:right="0"/>
            <w:jc w:val="left"/>
          </w:pPr>
          <w:hyperlink w:history="true" w:anchor="_bookmark10">
            <w:r>
              <w:rPr/>
              <w:t>Rehabilitation</w:t>
            </w:r>
            <w:r>
              <w:rPr>
                <w:spacing w:val="-1"/>
              </w:rPr>
              <w:t> </w:t>
            </w:r>
            <w:r>
              <w:rPr/>
              <w:t>Bonds</w:t>
              <w:tab/>
              <w:t>8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10"/>
          <w:pgSz w:w="11900" w:h="16840"/>
          <w:pgMar w:footer="678" w:header="0" w:top="1380" w:bottom="860" w:left="1300" w:right="1300"/>
        </w:sectPr>
      </w:pPr>
    </w:p>
    <w:p>
      <w:pPr>
        <w:pStyle w:val="Heading1"/>
        <w:numPr>
          <w:ilvl w:val="0"/>
          <w:numId w:val="2"/>
        </w:numPr>
        <w:tabs>
          <w:tab w:pos="501" w:val="left" w:leader="none"/>
        </w:tabs>
        <w:spacing w:line="240" w:lineRule="auto" w:before="58" w:after="0"/>
        <w:ind w:left="500" w:right="235" w:hanging="36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EXEC</w:t>
      </w:r>
      <w:r>
        <w:rPr/>
        <w:t>UTIVE</w:t>
      </w:r>
      <w:r>
        <w:rPr>
          <w:spacing w:val="-3"/>
        </w:rPr>
        <w:t> </w:t>
      </w:r>
      <w:r>
        <w:rPr/>
        <w:t>SUMMARY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75pt;height:.5pt;mso-position-horizontal-relative:char;mso-position-vertical-relative:line" coordorigin="0,0" coordsize="9095,10">
            <v:group style="position:absolute;left:5;top:5;width:9086;height:2" coordorigin="5,5" coordsize="9086,2">
              <v:shape style="position:absolute;left:5;top:5;width:9086;height:2" coordorigin="5,5" coordsize="9086,0" path="m5,5l9090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76" w:lineRule="auto" w:before="109"/>
        <w:ind w:right="235"/>
        <w:jc w:val="left"/>
      </w:pPr>
      <w:r>
        <w:rPr/>
        <w:t>The Minerals Council of Australia Victorian Division (MCA) is pleased to present its submission to</w:t>
      </w:r>
      <w:r>
        <w:rPr>
          <w:spacing w:val="-20"/>
        </w:rPr>
        <w:t> </w:t>
      </w:r>
      <w:r>
        <w:rPr/>
        <w:t>the</w:t>
      </w:r>
      <w:r>
        <w:rPr>
          <w:w w:val="99"/>
        </w:rPr>
        <w:t> </w:t>
      </w:r>
      <w:r>
        <w:rPr/>
        <w:t>2015 Hazelwood Mine Fire</w:t>
      </w:r>
      <w:r>
        <w:rPr>
          <w:spacing w:val="-12"/>
        </w:rPr>
        <w:t> </w:t>
      </w:r>
      <w:r>
        <w:rPr/>
        <w:t>Inquiry.</w:t>
      </w:r>
    </w:p>
    <w:p>
      <w:pPr>
        <w:pStyle w:val="BodyText"/>
        <w:spacing w:line="276" w:lineRule="auto" w:before="120"/>
        <w:ind w:right="235"/>
        <w:jc w:val="left"/>
      </w:pPr>
      <w:r>
        <w:rPr>
          <w:rFonts w:ascii="Arial" w:hAnsi="Arial" w:cs="Arial" w:eastAsia="Arial"/>
        </w:rPr>
        <w:t>This submission highlights the minerals industry’s high level policy and regulatory objectives on</w:t>
      </w:r>
      <w:r>
        <w:rPr>
          <w:rFonts w:ascii="Arial" w:hAnsi="Arial" w:cs="Arial" w:eastAsia="Arial"/>
          <w:spacing w:val="-29"/>
        </w:rPr>
        <w:t> </w:t>
      </w:r>
      <w:r>
        <w:rPr>
          <w:rFonts w:ascii="Arial" w:hAnsi="Arial" w:cs="Arial" w:eastAsia="Arial"/>
        </w:rPr>
        <w:t>risk</w:t>
      </w:r>
      <w:r>
        <w:rPr>
          <w:rFonts w:ascii="Arial" w:hAnsi="Arial" w:cs="Arial" w:eastAsia="Arial"/>
          <w:w w:val="99"/>
        </w:rPr>
        <w:t> </w:t>
      </w:r>
      <w:r>
        <w:rPr/>
        <w:t>management and rehabilitation while leaving the technical discussion and options for</w:t>
      </w:r>
      <w:r>
        <w:rPr>
          <w:spacing w:val="-29"/>
        </w:rPr>
        <w:t> </w:t>
      </w:r>
      <w:r>
        <w:rPr/>
        <w:t>rehabilitation</w:t>
      </w:r>
      <w:r>
        <w:rPr>
          <w:w w:val="99"/>
        </w:rPr>
        <w:t> </w:t>
      </w:r>
      <w:r>
        <w:rPr/>
        <w:t>and mine closure to mine operators and specialist engineering firms. The submission makes</w:t>
      </w:r>
      <w:r>
        <w:rPr>
          <w:spacing w:val="-13"/>
        </w:rPr>
        <w:t> </w:t>
      </w:r>
      <w:r>
        <w:rPr/>
        <w:t>no</w:t>
      </w:r>
      <w:r>
        <w:rPr>
          <w:w w:val="99"/>
        </w:rPr>
        <w:t> </w:t>
      </w:r>
      <w:r>
        <w:rPr/>
        <w:t>comment on the specific mine</w:t>
      </w:r>
      <w:r>
        <w:rPr>
          <w:spacing w:val="-12"/>
        </w:rPr>
        <w:t> </w:t>
      </w:r>
      <w:r>
        <w:rPr/>
        <w:t>fire.</w:t>
      </w:r>
    </w:p>
    <w:p>
      <w:pPr>
        <w:pStyle w:val="BodyText"/>
        <w:spacing w:line="276" w:lineRule="auto" w:before="120"/>
        <w:ind w:right="235"/>
        <w:jc w:val="left"/>
      </w:pPr>
      <w:r>
        <w:rPr/>
        <w:t>The minerals industry is committed to sustainable development and strives for</w:t>
      </w:r>
      <w:r>
        <w:rPr>
          <w:spacing w:val="-22"/>
        </w:rPr>
        <w:t> </w:t>
      </w:r>
      <w:r>
        <w:rPr/>
        <w:t>continuous</w:t>
      </w:r>
      <w:r>
        <w:rPr>
          <w:w w:val="99"/>
        </w:rPr>
        <w:t> </w:t>
      </w:r>
      <w:r>
        <w:rPr/>
        <w:t>improvement attuned with environmental and community expectations. The industry has developed</w:t>
      </w:r>
      <w:r>
        <w:rPr>
          <w:spacing w:val="-21"/>
        </w:rPr>
        <w:t> </w:t>
      </w:r>
      <w:r>
        <w:rPr/>
        <w:t>a</w:t>
      </w:r>
      <w:r>
        <w:rPr>
          <w:w w:val="99"/>
        </w:rPr>
        <w:t> </w:t>
      </w:r>
      <w:r>
        <w:rPr/>
        <w:t>number of policy positions and leading practice guidance that address life of mine</w:t>
      </w:r>
      <w:r>
        <w:rPr>
          <w:spacing w:val="-13"/>
        </w:rPr>
        <w:t> </w:t>
      </w:r>
      <w:r>
        <w:rPr/>
        <w:t>impacts.</w:t>
      </w:r>
    </w:p>
    <w:p>
      <w:pPr>
        <w:pStyle w:val="BodyText"/>
        <w:spacing w:line="276" w:lineRule="auto" w:before="120"/>
        <w:ind w:right="719"/>
        <w:jc w:val="both"/>
      </w:pPr>
      <w:r>
        <w:rPr/>
        <w:t>Mining operations, both small and large, are complex, dynamic, technically advanced and</w:t>
      </w:r>
      <w:r>
        <w:rPr>
          <w:spacing w:val="-14"/>
        </w:rPr>
        <w:t> </w:t>
      </w:r>
      <w:r>
        <w:rPr/>
        <w:t>must</w:t>
      </w:r>
      <w:r>
        <w:rPr>
          <w:w w:val="99"/>
        </w:rPr>
        <w:t> </w:t>
      </w:r>
      <w:r>
        <w:rPr/>
        <w:t>continually respond to market and regulatory conditions. Policy and regulatory settings must</w:t>
      </w:r>
      <w:r>
        <w:rPr>
          <w:spacing w:val="-27"/>
        </w:rPr>
        <w:t> </w:t>
      </w:r>
      <w:r>
        <w:rPr/>
        <w:t>be</w:t>
      </w:r>
      <w:r>
        <w:rPr>
          <w:w w:val="99"/>
        </w:rPr>
        <w:t> </w:t>
      </w:r>
      <w:r>
        <w:rPr/>
        <w:t>cognisant of this and allow for flexibility in achieving regulatory</w:t>
      </w:r>
      <w:r>
        <w:rPr>
          <w:spacing w:val="-15"/>
        </w:rPr>
        <w:t> </w:t>
      </w:r>
      <w:r>
        <w:rPr/>
        <w:t>objectives.</w:t>
      </w:r>
    </w:p>
    <w:p>
      <w:pPr>
        <w:pStyle w:val="BodyText"/>
        <w:spacing w:line="276" w:lineRule="auto" w:before="121"/>
        <w:ind w:right="235"/>
        <w:jc w:val="left"/>
      </w:pPr>
      <w:r>
        <w:rPr/>
        <w:t>The minerals industry supports the 2014 Board of Inquiry report into the Mine Fire, namely that</w:t>
      </w:r>
      <w:r>
        <w:rPr>
          <w:spacing w:val="-22"/>
        </w:rPr>
        <w:t> </w:t>
      </w:r>
      <w:r>
        <w:rPr/>
        <w:t>the</w:t>
      </w:r>
      <w:r>
        <w:rPr>
          <w:spacing w:val="-1"/>
          <w:w w:val="99"/>
        </w:rPr>
        <w:t> </w:t>
      </w:r>
      <w:r>
        <w:rPr>
          <w:rFonts w:ascii="Arial" w:hAnsi="Arial" w:cs="Arial" w:eastAsia="Arial"/>
        </w:rPr>
        <w:t>“</w:t>
      </w:r>
      <w:r>
        <w:rPr/>
        <w:t>State: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0" w:after="0"/>
        <w:ind w:left="860" w:right="48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bring forward the commencement date of s.16 of the Mineral Resources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(Sustainable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Development) Amendment Act 2014 (Vic), to facilitate the requirement that approved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work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plans specifically address fire prevention, mitigation </w:t>
      </w:r>
      <w:r>
        <w:rPr>
          <w:rFonts w:ascii="Arial"/>
          <w:spacing w:val="2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suppression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119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acquire the expertise necessary to monitor and enforce compliance with fire risk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measures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adopted by the Victorian coal mining industry under both the mine licensing and</w:t>
      </w:r>
      <w:r>
        <w:rPr>
          <w:rFonts w:ascii="Arial" w:hAnsi="Arial" w:cs="Arial" w:eastAsia="Arial"/>
          <w:spacing w:val="-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occupational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health and safety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regimes</w:t>
      </w:r>
      <w:r>
        <w:rPr>
          <w:rFonts w:ascii="Arial" w:hAnsi="Arial" w:cs="Arial" w:eastAsia="Arial"/>
          <w:sz w:val="20"/>
          <w:szCs w:val="20"/>
        </w:rPr>
        <w:t>”</w:t>
      </w:r>
      <w:r>
        <w:rPr>
          <w:rFonts w:ascii="Arial" w:hAnsi="Arial" w:cs="Arial" w:eastAsia="Arial"/>
          <w:sz w:val="20"/>
          <w:szCs w:val="20"/>
        </w:rPr>
        <w:t>.</w:t>
      </w:r>
    </w:p>
    <w:p>
      <w:pPr>
        <w:pStyle w:val="BodyText"/>
        <w:spacing w:line="276" w:lineRule="auto" w:before="120"/>
        <w:ind w:right="148"/>
        <w:jc w:val="both"/>
      </w:pPr>
      <w:r>
        <w:rPr/>
        <w:t>The MCA urges the 2015 Board of Inquiry to carefully consider any specific recommendations</w:t>
      </w:r>
      <w:r>
        <w:rPr>
          <w:spacing w:val="-18"/>
        </w:rPr>
        <w:t> </w:t>
      </w:r>
      <w:r>
        <w:rPr/>
        <w:t>around</w:t>
      </w:r>
      <w:r>
        <w:rPr>
          <w:w w:val="99"/>
        </w:rPr>
        <w:t> </w:t>
      </w:r>
      <w:r>
        <w:rPr/>
        <w:t>rehabilitation and ensure that they are based on international leading practice methods and suitable</w:t>
      </w:r>
      <w:r>
        <w:rPr>
          <w:spacing w:val="-25"/>
        </w:rPr>
        <w:t> </w:t>
      </w:r>
      <w:r>
        <w:rPr/>
        <w:t>to</w:t>
      </w:r>
      <w:r>
        <w:rPr>
          <w:w w:val="99"/>
        </w:rPr>
        <w:t> </w:t>
      </w:r>
      <w:r>
        <w:rPr/>
        <w:t>the underlying geological and landscape</w:t>
      </w:r>
      <w:r>
        <w:rPr>
          <w:spacing w:val="-16"/>
        </w:rPr>
        <w:t> </w:t>
      </w:r>
      <w:r>
        <w:rPr/>
        <w:t>conditions.</w:t>
      </w:r>
    </w:p>
    <w:p>
      <w:pPr>
        <w:pStyle w:val="BodyText"/>
        <w:spacing w:line="276" w:lineRule="auto" w:before="120"/>
        <w:ind w:right="113"/>
        <w:jc w:val="left"/>
      </w:pPr>
      <w:r>
        <w:rPr/>
        <w:t>Rehabilitation is a complex issue that is considered prior to mineral extraction and further evolves</w:t>
      </w:r>
      <w:r>
        <w:rPr>
          <w:spacing w:val="-31"/>
        </w:rPr>
        <w:t> </w:t>
      </w:r>
      <w:r>
        <w:rPr/>
        <w:t>over</w:t>
      </w:r>
      <w:r>
        <w:rPr>
          <w:w w:val="99"/>
        </w:rPr>
        <w:t> </w:t>
      </w:r>
      <w:r>
        <w:rPr/>
        <w:t>time with mine development. </w:t>
      </w:r>
      <w:r>
        <w:rPr>
          <w:rFonts w:ascii="Arial" w:hAnsi="Arial" w:cs="Arial" w:eastAsia="Arial"/>
        </w:rPr>
        <w:t>Each site has unique attributes and a ‘one</w:t>
      </w:r>
      <w:r>
        <w:rPr/>
        <w:t>-size-fits-</w:t>
      </w:r>
      <w:r>
        <w:rPr>
          <w:rFonts w:ascii="Arial" w:hAnsi="Arial" w:cs="Arial" w:eastAsia="Arial"/>
        </w:rPr>
        <w:t>all’ approach is</w:t>
      </w:r>
      <w:r>
        <w:rPr>
          <w:rFonts w:ascii="Arial" w:hAnsi="Arial" w:cs="Arial" w:eastAsia="Arial"/>
          <w:spacing w:val="-21"/>
        </w:rPr>
        <w:t> </w:t>
      </w:r>
      <w:r>
        <w:rPr>
          <w:rFonts w:ascii="Arial" w:hAnsi="Arial" w:cs="Arial" w:eastAsia="Arial"/>
        </w:rPr>
        <w:t>not</w:t>
      </w:r>
      <w:r>
        <w:rPr>
          <w:rFonts w:ascii="Arial" w:hAnsi="Arial" w:cs="Arial" w:eastAsia="Arial"/>
          <w:w w:val="99"/>
        </w:rPr>
        <w:t> </w:t>
      </w:r>
      <w:r>
        <w:rPr/>
        <w:t>possible.</w:t>
      </w:r>
    </w:p>
    <w:p>
      <w:pPr>
        <w:pStyle w:val="BodyText"/>
        <w:spacing w:line="240" w:lineRule="auto" w:before="120"/>
        <w:ind w:right="235"/>
        <w:jc w:val="left"/>
      </w:pPr>
      <w:r>
        <w:rPr/>
        <w:t>The minerals industry therefore continues to advocate</w:t>
      </w:r>
      <w:r>
        <w:rPr>
          <w:spacing w:val="-12"/>
        </w:rPr>
        <w:t> </w:t>
      </w:r>
      <w:r>
        <w:rPr/>
        <w:t>that: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155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risk management underpin all policy and regulatory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settings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3" w:lineRule="auto" w:before="151" w:after="0"/>
        <w:ind w:left="860" w:right="30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these settings acknowledge that each mine has a unique set of circumstances and risks</w:t>
      </w:r>
      <w:r>
        <w:rPr>
          <w:rFonts w:ascii="Arial"/>
          <w:spacing w:val="-24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require holistic, rather than individual, risk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management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3" w:lineRule="auto" w:before="121" w:after="0"/>
        <w:ind w:left="860" w:right="100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economic, social and environmental considerations be weighted </w:t>
      </w:r>
      <w:r>
        <w:rPr>
          <w:rFonts w:ascii="Arial"/>
          <w:spacing w:val="2"/>
          <w:sz w:val="20"/>
        </w:rPr>
        <w:t>to </w:t>
      </w:r>
      <w:r>
        <w:rPr>
          <w:rFonts w:ascii="Arial"/>
          <w:sz w:val="20"/>
        </w:rPr>
        <w:t>acknowledge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significant contribution mining makes to regional economic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development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3" w:lineRule="auto" w:before="121" w:after="0"/>
        <w:ind w:left="860" w:right="672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consistent and aligned regulatory practice with risk management expertise recruited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into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regulatory agencies 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essential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3" w:lineRule="auto" w:before="121" w:after="0"/>
        <w:ind w:left="860" w:right="27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rehabilitation bond models that are efficient and effective be applied in a consistent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manner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across all sites, encourage progressive rehabilitation and do not assume all sites will</w:t>
      </w:r>
      <w:r>
        <w:rPr>
          <w:rFonts w:ascii="Arial"/>
          <w:spacing w:val="-24"/>
          <w:sz w:val="20"/>
        </w:rPr>
        <w:t> </w:t>
      </w:r>
      <w:r>
        <w:rPr>
          <w:rFonts w:ascii="Arial"/>
          <w:sz w:val="20"/>
        </w:rPr>
        <w:t>default.</w:t>
      </w:r>
    </w:p>
    <w:p>
      <w:pPr>
        <w:spacing w:after="0" w:line="273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11"/>
          <w:pgSz w:w="11910" w:h="16840"/>
          <w:pgMar w:footer="652" w:header="0" w:top="1340" w:bottom="840" w:left="1300" w:right="1300"/>
          <w:pgNumType w:start="1"/>
        </w:sectPr>
      </w:pPr>
    </w:p>
    <w:p>
      <w:pPr>
        <w:pStyle w:val="Heading1"/>
        <w:numPr>
          <w:ilvl w:val="0"/>
          <w:numId w:val="2"/>
        </w:numPr>
        <w:tabs>
          <w:tab w:pos="573" w:val="left" w:leader="none"/>
        </w:tabs>
        <w:spacing w:line="240" w:lineRule="auto" w:before="58" w:after="0"/>
        <w:ind w:left="572" w:right="235" w:hanging="432"/>
        <w:jc w:val="left"/>
        <w:rPr>
          <w:b w:val="0"/>
          <w:bCs w:val="0"/>
        </w:rPr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INT</w:t>
      </w:r>
      <w:r>
        <w:rPr/>
        <w:t>RODUCTION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75pt;height:.5pt;mso-position-horizontal-relative:char;mso-position-vertical-relative:line" coordorigin="0,0" coordsize="9095,10">
            <v:group style="position:absolute;left:5;top:5;width:9086;height:2" coordorigin="5,5" coordsize="9086,2">
              <v:shape style="position:absolute;left:5;top:5;width:9086;height:2" coordorigin="5,5" coordsize="9086,0" path="m5,5l9090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2"/>
        <w:spacing w:line="240" w:lineRule="auto" w:before="74"/>
        <w:ind w:right="235"/>
        <w:jc w:val="left"/>
        <w:rPr>
          <w:b w:val="0"/>
          <w:bCs w:val="0"/>
        </w:rPr>
      </w:pPr>
      <w:bookmarkStart w:name="_bookmark2" w:id="5"/>
      <w:bookmarkEnd w:id="5"/>
      <w:r>
        <w:rPr>
          <w:b w:val="0"/>
        </w:rPr>
      </w:r>
      <w:r>
        <w:rPr/>
        <w:t>The Minerals Council of</w:t>
      </w:r>
      <w:r>
        <w:rPr>
          <w:spacing w:val="-11"/>
        </w:rPr>
        <w:t> </w:t>
      </w:r>
      <w:r>
        <w:rPr/>
        <w:t>Australia</w:t>
      </w:r>
      <w:r>
        <w:rPr>
          <w:b w:val="0"/>
        </w:rPr>
      </w:r>
    </w:p>
    <w:p>
      <w:pPr>
        <w:pStyle w:val="BodyText"/>
        <w:spacing w:line="276" w:lineRule="auto" w:before="156"/>
        <w:ind w:right="235"/>
        <w:jc w:val="left"/>
        <w:rPr>
          <w:rFonts w:ascii="Arial" w:hAnsi="Arial" w:cs="Arial" w:eastAsia="Arial"/>
        </w:rPr>
      </w:pPr>
      <w:r>
        <w:rPr/>
        <w:t>The Minerals Council of Australia </w:t>
      </w:r>
      <w:r>
        <w:rPr>
          <w:rFonts w:ascii="Arial" w:hAnsi="Arial" w:cs="Arial" w:eastAsia="Arial"/>
        </w:rPr>
        <w:t>is the peak industry organisation representing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Australia’s</w:t>
      </w:r>
      <w:r>
        <w:rPr>
          <w:rFonts w:ascii="Arial" w:hAnsi="Arial" w:cs="Arial" w:eastAsia="Arial"/>
          <w:w w:val="99"/>
        </w:rPr>
        <w:t> </w:t>
      </w:r>
      <w:r>
        <w:rPr/>
        <w:t>exploration, mining and minerals processing industry, nationally and internationally, in its</w:t>
      </w:r>
      <w:r>
        <w:rPr>
          <w:spacing w:val="-26"/>
        </w:rPr>
        <w:t> </w:t>
      </w:r>
      <w:r>
        <w:rPr/>
        <w:t>contribution</w:t>
      </w:r>
      <w:r>
        <w:rPr>
          <w:w w:val="99"/>
        </w:rPr>
        <w:t> </w:t>
      </w:r>
      <w:r>
        <w:rPr>
          <w:rFonts w:ascii="Arial" w:hAnsi="Arial" w:cs="Arial" w:eastAsia="Arial"/>
        </w:rPr>
        <w:t>to sustainable development and society. The MCA’s strategic objective is to advocate </w:t>
      </w:r>
      <w:r>
        <w:rPr/>
        <w:t>public</w:t>
      </w:r>
      <w:r>
        <w:rPr>
          <w:spacing w:val="-14"/>
        </w:rPr>
        <w:t> </w:t>
      </w:r>
      <w:r>
        <w:rPr/>
        <w:t>policy</w:t>
      </w:r>
      <w:r>
        <w:rPr>
          <w:w w:val="99"/>
        </w:rPr>
        <w:t> </w:t>
      </w:r>
      <w:r>
        <w:rPr/>
        <w:t>and operational practice for a world-class industry that is safe, profitable, innovative,</w:t>
      </w:r>
      <w:r>
        <w:rPr>
          <w:spacing w:val="-12"/>
        </w:rPr>
        <w:t> </w:t>
      </w:r>
      <w:r>
        <w:rPr/>
        <w:t>and</w:t>
      </w:r>
      <w:r>
        <w:rPr>
          <w:w w:val="99"/>
        </w:rPr>
        <w:t> </w:t>
      </w:r>
      <w:r>
        <w:rPr>
          <w:rFonts w:ascii="Arial" w:hAnsi="Arial" w:cs="Arial" w:eastAsia="Arial"/>
        </w:rPr>
        <w:t>environmentally and socially responsible attuned to its communities’ needs and</w:t>
      </w:r>
      <w:r>
        <w:rPr>
          <w:rFonts w:ascii="Arial" w:hAnsi="Arial" w:cs="Arial" w:eastAsia="Arial"/>
          <w:spacing w:val="-27"/>
        </w:rPr>
        <w:t> </w:t>
      </w:r>
      <w:r>
        <w:rPr>
          <w:rFonts w:ascii="Arial" w:hAnsi="Arial" w:cs="Arial" w:eastAsia="Arial"/>
        </w:rPr>
        <w:t>expectations.</w:t>
      </w:r>
    </w:p>
    <w:p>
      <w:pPr>
        <w:pStyle w:val="BodyText"/>
        <w:spacing w:line="276" w:lineRule="auto" w:before="120"/>
        <w:ind w:right="219"/>
        <w:jc w:val="left"/>
      </w:pPr>
      <w:r>
        <w:rPr/>
        <w:t>The Victorian division of the MCA represents the interests of member companies operating,</w:t>
      </w:r>
      <w:r>
        <w:rPr>
          <w:spacing w:val="-25"/>
        </w:rPr>
        <w:t> </w:t>
      </w:r>
      <w:r>
        <w:rPr/>
        <w:t>exploring</w:t>
      </w:r>
      <w:r>
        <w:rPr>
          <w:w w:val="99"/>
        </w:rPr>
        <w:t> </w:t>
      </w:r>
      <w:r>
        <w:rPr/>
        <w:t>and providing services to the industry in Victoria.  Policy positions of the Victorian industry are</w:t>
      </w:r>
      <w:r>
        <w:rPr>
          <w:spacing w:val="-20"/>
        </w:rPr>
        <w:t> </w:t>
      </w:r>
      <w:r>
        <w:rPr/>
        <w:t>one</w:t>
      </w:r>
      <w:r>
        <w:rPr>
          <w:w w:val="99"/>
        </w:rPr>
        <w:t> </w:t>
      </w:r>
      <w:r>
        <w:rPr/>
        <w:t>and the same as the entire Australian minerals industry. The MCA operates on a platform of</w:t>
      </w:r>
      <w:r>
        <w:rPr>
          <w:spacing w:val="-20"/>
        </w:rPr>
        <w:t> </w:t>
      </w:r>
      <w:r>
        <w:rPr/>
        <w:t>national</w:t>
      </w:r>
      <w:r>
        <w:rPr>
          <w:w w:val="99"/>
        </w:rPr>
        <w:t> </w:t>
      </w:r>
      <w:r>
        <w:rPr/>
        <w:t>consistency and therefore considers that minerals operations in all jurisdictions should be subject</w:t>
      </w:r>
      <w:r>
        <w:rPr>
          <w:spacing w:val="-27"/>
        </w:rPr>
        <w:t> </w:t>
      </w:r>
      <w:r>
        <w:rPr/>
        <w:t>to</w:t>
      </w:r>
      <w:r>
        <w:rPr>
          <w:w w:val="99"/>
        </w:rPr>
        <w:t> </w:t>
      </w:r>
      <w:r>
        <w:rPr/>
        <w:t>the same polices and legislative</w:t>
      </w:r>
      <w:r>
        <w:rPr>
          <w:spacing w:val="-4"/>
        </w:rPr>
        <w:t> </w:t>
      </w:r>
      <w:r>
        <w:rPr/>
        <w:t>frameworks.</w:t>
      </w:r>
    </w:p>
    <w:p>
      <w:pPr>
        <w:pStyle w:val="BodyText"/>
        <w:spacing w:line="276" w:lineRule="auto" w:before="120"/>
        <w:ind w:right="113"/>
        <w:jc w:val="left"/>
      </w:pPr>
      <w:r>
        <w:rPr/>
        <w:t>The Victorian Division of the MCA represents the interests of member companies operating,</w:t>
      </w:r>
      <w:r>
        <w:rPr>
          <w:spacing w:val="-27"/>
        </w:rPr>
        <w:t> </w:t>
      </w:r>
      <w:r>
        <w:rPr/>
        <w:t>exploring</w:t>
      </w:r>
      <w:r>
        <w:rPr>
          <w:w w:val="99"/>
        </w:rPr>
        <w:t> </w:t>
      </w:r>
      <w:r>
        <w:rPr/>
        <w:t>and providing services to the industry in</w:t>
      </w:r>
      <w:r>
        <w:rPr>
          <w:spacing w:val="-12"/>
        </w:rPr>
        <w:t> </w:t>
      </w:r>
      <w:r>
        <w:rPr/>
        <w:t>Victoria.</w:t>
      </w:r>
    </w:p>
    <w:p>
      <w:pPr>
        <w:pStyle w:val="BodyText"/>
        <w:spacing w:line="276" w:lineRule="auto" w:before="120"/>
        <w:ind w:right="113"/>
        <w:jc w:val="left"/>
      </w:pPr>
      <w:r>
        <w:rPr/>
        <w:t>Policy positions of the Victorian industry are one and the same as the entire Australian</w:t>
      </w:r>
      <w:r>
        <w:rPr>
          <w:spacing w:val="-24"/>
        </w:rPr>
        <w:t> </w:t>
      </w:r>
      <w:r>
        <w:rPr/>
        <w:t>minerals</w:t>
      </w:r>
      <w:r>
        <w:rPr>
          <w:w w:val="99"/>
        </w:rPr>
        <w:t> </w:t>
      </w:r>
      <w:r>
        <w:rPr/>
        <w:t>industry. The MCA operates on a platform of national consistency and therefore considers</w:t>
      </w:r>
      <w:r>
        <w:rPr>
          <w:spacing w:val="-14"/>
        </w:rPr>
        <w:t> </w:t>
      </w:r>
      <w:r>
        <w:rPr/>
        <w:t>that</w:t>
      </w:r>
      <w:r>
        <w:rPr>
          <w:w w:val="99"/>
        </w:rPr>
        <w:t> </w:t>
      </w:r>
      <w:r>
        <w:rPr/>
        <w:t>minerals operations in all jurisdiction should be subject to the same polices and legislative</w:t>
      </w:r>
      <w:r>
        <w:rPr>
          <w:spacing w:val="-30"/>
        </w:rPr>
        <w:t> </w:t>
      </w:r>
      <w:r>
        <w:rPr/>
        <w:t>frameworks</w:t>
      </w:r>
      <w:r>
        <w:rPr>
          <w:w w:val="99"/>
        </w:rPr>
        <w:t> </w:t>
      </w:r>
      <w:r>
        <w:rPr/>
        <w:t>across the</w:t>
      </w:r>
      <w:r>
        <w:rPr>
          <w:spacing w:val="-10"/>
        </w:rPr>
        <w:t> </w:t>
      </w:r>
      <w:r>
        <w:rPr/>
        <w:t>country.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235"/>
        <w:jc w:val="left"/>
        <w:rPr>
          <w:b w:val="0"/>
          <w:bCs w:val="0"/>
        </w:rPr>
      </w:pPr>
      <w:bookmarkStart w:name="_bookmark3" w:id="6"/>
      <w:bookmarkEnd w:id="6"/>
      <w:r>
        <w:rPr>
          <w:b w:val="0"/>
        </w:rPr>
      </w:r>
      <w:r>
        <w:rPr/>
        <w:t>The Victorian minerals</w:t>
      </w:r>
      <w:r>
        <w:rPr>
          <w:spacing w:val="-8"/>
        </w:rPr>
        <w:t> </w:t>
      </w:r>
      <w:r>
        <w:rPr/>
        <w:t>industry</w:t>
      </w:r>
      <w:r>
        <w:rPr>
          <w:b w:val="0"/>
        </w:rPr>
      </w:r>
    </w:p>
    <w:p>
      <w:pPr>
        <w:pStyle w:val="BodyText"/>
        <w:spacing w:line="278" w:lineRule="auto" w:before="156"/>
        <w:ind w:right="235"/>
        <w:jc w:val="left"/>
      </w:pPr>
      <w:r>
        <w:rPr/>
        <w:t>The Victorian m</w:t>
      </w:r>
      <w:r>
        <w:rPr>
          <w:rFonts w:ascii="Arial" w:hAnsi="Arial" w:cs="Arial" w:eastAsia="Arial"/>
        </w:rPr>
        <w:t>inerals industry has traditionally been an important contributor to Victoria’s</w:t>
      </w:r>
      <w:r>
        <w:rPr>
          <w:rFonts w:ascii="Arial" w:hAnsi="Arial" w:cs="Arial" w:eastAsia="Arial"/>
          <w:spacing w:val="-19"/>
        </w:rPr>
        <w:t> </w:t>
      </w:r>
      <w:r>
        <w:rPr/>
        <w:t>economy,</w:t>
      </w:r>
      <w:r>
        <w:rPr>
          <w:w w:val="99"/>
        </w:rPr>
        <w:t> </w:t>
      </w:r>
      <w:r>
        <w:rPr/>
        <w:t>particularly in regional and rural</w:t>
      </w:r>
      <w:r>
        <w:rPr>
          <w:spacing w:val="-14"/>
        </w:rPr>
        <w:t> </w:t>
      </w:r>
      <w:r>
        <w:rPr/>
        <w:t>Victoria.</w:t>
      </w:r>
    </w:p>
    <w:p>
      <w:pPr>
        <w:pStyle w:val="BodyText"/>
        <w:spacing w:line="276" w:lineRule="auto" w:before="118"/>
        <w:ind w:right="235"/>
        <w:jc w:val="left"/>
      </w:pPr>
      <w:r>
        <w:rPr/>
        <w:t>The Victorian minerals industry is often separated into the coal sector and the metalliferous</w:t>
      </w:r>
      <w:r>
        <w:rPr>
          <w:spacing w:val="-19"/>
        </w:rPr>
        <w:t> </w:t>
      </w:r>
      <w:r>
        <w:rPr/>
        <w:t>sector.</w:t>
      </w:r>
      <w:r>
        <w:rPr>
          <w:w w:val="99"/>
        </w:rPr>
        <w:t> </w:t>
      </w:r>
      <w:r>
        <w:rPr/>
        <w:t>The metalliferous sector is dominated by four operating gold mines and a mineral sands</w:t>
      </w:r>
      <w:r>
        <w:rPr>
          <w:spacing w:val="-20"/>
        </w:rPr>
        <w:t> </w:t>
      </w:r>
      <w:r>
        <w:rPr/>
        <w:t>processing</w:t>
      </w:r>
      <w:r>
        <w:rPr>
          <w:w w:val="99"/>
        </w:rPr>
        <w:t> </w:t>
      </w:r>
      <w:r>
        <w:rPr/>
        <w:t>operation. Mining </w:t>
      </w:r>
      <w:r>
        <w:rPr>
          <w:rFonts w:ascii="Arial" w:hAnsi="Arial" w:cs="Arial" w:eastAsia="Arial"/>
        </w:rPr>
        <w:t>is one of the oldest sectors of Victoria’s (and indeed Australia’s)</w:t>
      </w:r>
      <w:r>
        <w:rPr>
          <w:rFonts w:ascii="Arial" w:hAnsi="Arial" w:cs="Arial" w:eastAsia="Arial"/>
          <w:spacing w:val="-8"/>
        </w:rPr>
        <w:t> </w:t>
      </w:r>
      <w:r>
        <w:rPr/>
        <w:t>economy,</w:t>
      </w:r>
      <w:r>
        <w:rPr>
          <w:w w:val="99"/>
        </w:rPr>
        <w:t> </w:t>
      </w:r>
      <w:r>
        <w:rPr/>
        <w:t>operating continuously for the last 160</w:t>
      </w:r>
      <w:r>
        <w:rPr>
          <w:spacing w:val="-18"/>
        </w:rPr>
        <w:t> </w:t>
      </w:r>
      <w:r>
        <w:rPr/>
        <w:t>years.</w:t>
      </w:r>
    </w:p>
    <w:p>
      <w:pPr>
        <w:pStyle w:val="BodyText"/>
        <w:spacing w:line="261" w:lineRule="auto" w:before="123"/>
        <w:ind w:right="300"/>
        <w:jc w:val="left"/>
        <w:rPr>
          <w:sz w:val="13"/>
          <w:szCs w:val="13"/>
        </w:rPr>
      </w:pPr>
      <w:r>
        <w:rPr/>
        <w:t>The coal mining sector is predominately based in the east of the state, in the Latrobe Valley.</w:t>
      </w:r>
      <w:r>
        <w:rPr>
          <w:spacing w:val="35"/>
        </w:rPr>
        <w:t> </w:t>
      </w:r>
      <w:r>
        <w:rPr/>
        <w:t>The</w:t>
      </w:r>
      <w:r>
        <w:rPr>
          <w:spacing w:val="-1"/>
          <w:w w:val="99"/>
        </w:rPr>
        <w:t> </w:t>
      </w:r>
      <w:r>
        <w:rPr/>
        <w:t>resource is well defined: 33 billion tonnes of lignite (brown coal) has been identified as</w:t>
      </w:r>
      <w:r>
        <w:rPr>
          <w:spacing w:val="-25"/>
        </w:rPr>
        <w:t> </w:t>
      </w:r>
      <w:r>
        <w:rPr/>
        <w:t>economically</w:t>
      </w:r>
      <w:r>
        <w:rPr>
          <w:w w:val="99"/>
        </w:rPr>
        <w:t> </w:t>
      </w:r>
      <w:r>
        <w:rPr/>
        <w:t>recoverable</w:t>
      </w:r>
      <w:r>
        <w:rPr>
          <w:position w:val="10"/>
          <w:sz w:val="13"/>
          <w:szCs w:val="13"/>
        </w:rPr>
        <w:t>1</w:t>
      </w:r>
      <w:r>
        <w:rPr/>
        <w:t>. This </w:t>
      </w:r>
      <w:r>
        <w:rPr>
          <w:rFonts w:ascii="Arial" w:hAnsi="Arial" w:cs="Arial" w:eastAsia="Arial"/>
        </w:rPr>
        <w:t>represents a massive resource able to meet Victoria’s</w:t>
      </w:r>
      <w:r>
        <w:rPr/>
        <w:t>, and indeed</w:t>
      </w:r>
      <w:r>
        <w:rPr>
          <w:spacing w:val="-20"/>
        </w:rPr>
        <w:t> </w:t>
      </w:r>
      <w:r>
        <w:rPr>
          <w:rFonts w:ascii="Arial" w:hAnsi="Arial" w:cs="Arial" w:eastAsia="Arial"/>
        </w:rPr>
        <w:t>Australia’s</w:t>
      </w:r>
      <w:r>
        <w:rPr>
          <w:rFonts w:ascii="Arial" w:hAnsi="Arial" w:cs="Arial" w:eastAsia="Arial"/>
          <w:w w:val="99"/>
        </w:rPr>
        <w:t> </w:t>
      </w:r>
      <w:r>
        <w:rPr/>
        <w:t>energy needs into the future while also providing for the potential development of the coal</w:t>
      </w:r>
      <w:r>
        <w:rPr>
          <w:spacing w:val="-31"/>
        </w:rPr>
        <w:t> </w:t>
      </w:r>
      <w:r>
        <w:rPr/>
        <w:t>resource</w:t>
      </w:r>
      <w:r>
        <w:rPr>
          <w:w w:val="99"/>
        </w:rPr>
        <w:t> </w:t>
      </w:r>
      <w:r>
        <w:rPr/>
        <w:t>for non-energy uses. Cu</w:t>
      </w:r>
      <w:r>
        <w:rPr>
          <w:rFonts w:ascii="Arial" w:hAnsi="Arial" w:cs="Arial" w:eastAsia="Arial"/>
        </w:rPr>
        <w:t>rrent estimates of Victoria’s recoverable lignite resources are</w:t>
      </w:r>
      <w:r>
        <w:rPr>
          <w:rFonts w:ascii="Arial" w:hAnsi="Arial" w:cs="Arial" w:eastAsia="Arial"/>
          <w:spacing w:val="-25"/>
        </w:rPr>
        <w:t> </w:t>
      </w:r>
      <w:r>
        <w:rPr>
          <w:rFonts w:ascii="Arial" w:hAnsi="Arial" w:cs="Arial" w:eastAsia="Arial"/>
        </w:rPr>
        <w:t>approximately</w:t>
      </w:r>
      <w:r>
        <w:rPr>
          <w:rFonts w:ascii="Arial" w:hAnsi="Arial" w:cs="Arial" w:eastAsia="Arial"/>
          <w:w w:val="99"/>
        </w:rPr>
        <w:t> </w:t>
      </w:r>
      <w:r>
        <w:rPr/>
        <w:t>465 years of</w:t>
      </w:r>
      <w:r>
        <w:rPr>
          <w:spacing w:val="-5"/>
        </w:rPr>
        <w:t> </w:t>
      </w:r>
      <w:r>
        <w:rPr/>
        <w:t>production.</w:t>
      </w:r>
      <w:r>
        <w:rPr>
          <w:position w:val="10"/>
          <w:sz w:val="13"/>
          <w:szCs w:val="13"/>
        </w:rPr>
        <w:t>2</w:t>
      </w:r>
      <w:r>
        <w:rPr>
          <w:sz w:val="13"/>
          <w:szCs w:val="13"/>
        </w:rPr>
      </w:r>
    </w:p>
    <w:p>
      <w:pPr>
        <w:pStyle w:val="BodyText"/>
        <w:spacing w:line="252" w:lineRule="auto" w:before="130"/>
        <w:ind w:right="235"/>
        <w:jc w:val="left"/>
        <w:rPr>
          <w:sz w:val="13"/>
          <w:szCs w:val="13"/>
        </w:rPr>
      </w:pPr>
      <w:r>
        <w:rPr>
          <w:rFonts w:ascii="Arial" w:hAnsi="Arial" w:cs="Arial" w:eastAsia="Arial"/>
        </w:rPr>
        <w:t>Australia’s </w:t>
      </w:r>
      <w:r>
        <w:rPr/>
        <w:t>world class brown coal deposit, predominately located in the Gippsland Basin, is</w:t>
      </w:r>
      <w:r>
        <w:rPr>
          <w:spacing w:val="-16"/>
        </w:rPr>
        <w:t> </w:t>
      </w:r>
      <w:r>
        <w:rPr/>
        <w:t>the</w:t>
      </w:r>
      <w:r>
        <w:rPr>
          <w:spacing w:val="-1"/>
          <w:w w:val="99"/>
        </w:rPr>
        <w:t> </w:t>
      </w:r>
      <w:r>
        <w:rPr/>
        <w:t>second largest deposit in the world (following Russia) and represents 23 per cent of the world</w:t>
      </w:r>
      <w:r>
        <w:rPr>
          <w:rFonts w:ascii="Arial" w:hAnsi="Arial" w:cs="Arial" w:eastAsia="Arial"/>
        </w:rPr>
        <w:t>’s</w:t>
      </w:r>
      <w:r>
        <w:rPr>
          <w:rFonts w:ascii="Arial" w:hAnsi="Arial" w:cs="Arial" w:eastAsia="Arial"/>
          <w:spacing w:val="-28"/>
        </w:rPr>
        <w:t> </w:t>
      </w:r>
      <w:r>
        <w:rPr/>
        <w:t>total</w:t>
      </w:r>
      <w:r>
        <w:rPr>
          <w:w w:val="99"/>
        </w:rPr>
        <w:t> </w:t>
      </w:r>
      <w:r>
        <w:rPr/>
        <w:t>brown coal resources</w:t>
      </w:r>
      <w:r>
        <w:rPr>
          <w:position w:val="10"/>
          <w:sz w:val="13"/>
          <w:szCs w:val="13"/>
        </w:rPr>
        <w:t>3 </w:t>
      </w:r>
      <w:r>
        <w:rPr/>
        <w:t>- a valuable endowment for the people of Victoria. </w:t>
      </w:r>
      <w:r>
        <w:rPr>
          <w:rFonts w:ascii="Arial" w:hAnsi="Arial" w:cs="Arial" w:eastAsia="Arial"/>
        </w:rPr>
        <w:t>Victoria’s lignite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royalties</w:t>
      </w:r>
      <w:r>
        <w:rPr>
          <w:rFonts w:ascii="Arial" w:hAnsi="Arial" w:cs="Arial" w:eastAsia="Arial"/>
          <w:w w:val="99"/>
        </w:rPr>
        <w:t> </w:t>
      </w:r>
      <w:r>
        <w:rPr/>
        <w:t>were $36 million in 2013-14 and are projected to sum to $179 million in the five years to</w:t>
      </w:r>
      <w:r>
        <w:rPr>
          <w:spacing w:val="-23"/>
        </w:rPr>
        <w:t> </w:t>
      </w:r>
      <w:r>
        <w:rPr/>
        <w:t>2018-19.</w:t>
      </w:r>
      <w:r>
        <w:rPr>
          <w:position w:val="10"/>
          <w:sz w:val="13"/>
          <w:szCs w:val="13"/>
        </w:rPr>
        <w:t>4</w:t>
      </w:r>
      <w:r>
        <w:rPr>
          <w:sz w:val="13"/>
          <w:szCs w:val="13"/>
        </w:rPr>
      </w:r>
    </w:p>
    <w:p>
      <w:pPr>
        <w:pStyle w:val="BodyText"/>
        <w:spacing w:line="276" w:lineRule="auto" w:before="143"/>
        <w:ind w:right="480"/>
        <w:jc w:val="left"/>
      </w:pPr>
      <w:r>
        <w:rPr>
          <w:rFonts w:ascii="Arial" w:hAnsi="Arial" w:cs="Arial" w:eastAsia="Arial"/>
        </w:rPr>
        <w:t>Victoria’s brown coal contains low ash and sulphur </w:t>
      </w:r>
      <w:r>
        <w:rPr/>
        <w:t>and is readily mined at low cost. The</w:t>
      </w:r>
      <w:r>
        <w:rPr>
          <w:spacing w:val="-18"/>
        </w:rPr>
        <w:t> </w:t>
      </w:r>
      <w:r>
        <w:rPr/>
        <w:t>three</w:t>
      </w:r>
      <w:r>
        <w:rPr>
          <w:w w:val="99"/>
        </w:rPr>
        <w:t> </w:t>
      </w:r>
      <w:r>
        <w:rPr/>
        <w:t>Latrobe Valley coal mines (Loy Yang, Hazelwood and Yallourn) collectively constitute the</w:t>
      </w:r>
      <w:r>
        <w:rPr>
          <w:spacing w:val="-32"/>
        </w:rPr>
        <w:t> </w:t>
      </w:r>
      <w:r>
        <w:rPr/>
        <w:t>largest</w:t>
      </w:r>
      <w:r>
        <w:rPr>
          <w:w w:val="99"/>
        </w:rPr>
        <w:t> </w:t>
      </w:r>
      <w:r>
        <w:rPr/>
        <w:t>brown coal mining operation in the southern hemisphere.  The mines delivered nearly 58</w:t>
      </w:r>
      <w:r>
        <w:rPr>
          <w:spacing w:val="-23"/>
        </w:rPr>
        <w:t> </w:t>
      </w:r>
      <w:r>
        <w:rPr/>
        <w:t>million</w:t>
      </w:r>
    </w:p>
    <w:p>
      <w:pPr>
        <w:pStyle w:val="BodyText"/>
        <w:spacing w:line="230" w:lineRule="exact"/>
        <w:ind w:right="235"/>
        <w:jc w:val="left"/>
      </w:pPr>
      <w:r>
        <w:rPr/>
        <w:t>tonnes of coal in 2013-14</w:t>
      </w:r>
      <w:r>
        <w:rPr>
          <w:position w:val="10"/>
          <w:sz w:val="13"/>
        </w:rPr>
        <w:t>5 </w:t>
      </w:r>
      <w:r>
        <w:rPr/>
        <w:t>to the four power stations.  In addition, the Anglesea mine to the west</w:t>
      </w:r>
      <w:r>
        <w:rPr>
          <w:spacing w:val="-11"/>
        </w:rPr>
        <w:t> </w:t>
      </w:r>
      <w:r>
        <w:rPr/>
        <w:t>of</w:t>
      </w:r>
    </w:p>
    <w:p>
      <w:pPr>
        <w:pStyle w:val="BodyText"/>
        <w:spacing w:line="240" w:lineRule="auto" w:before="34"/>
        <w:ind w:right="235"/>
        <w:jc w:val="left"/>
      </w:pPr>
      <w:r>
        <w:rPr/>
        <w:t>Melbourne has supplied </w:t>
      </w:r>
      <w:r>
        <w:rPr>
          <w:rFonts w:ascii="Arial" w:hAnsi="Arial" w:cs="Arial" w:eastAsia="Arial"/>
        </w:rPr>
        <w:t>brown coal to Alcoa’s Anglesea Power Station </w:t>
      </w:r>
      <w:r>
        <w:rPr/>
        <w:t>but will close in August</w:t>
      </w:r>
      <w:r>
        <w:rPr>
          <w:spacing w:val="-31"/>
        </w:rPr>
        <w:t> </w:t>
      </w:r>
      <w:r>
        <w:rPr/>
        <w:t>2015.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96" w:lineRule="exact" w:before="48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1  </w:t>
      </w:r>
      <w:r>
        <w:rPr>
          <w:rFonts w:ascii="Arial"/>
          <w:sz w:val="16"/>
        </w:rPr>
        <w:t>State Government of Victoria, </w:t>
      </w:r>
      <w:r>
        <w:rPr>
          <w:rFonts w:ascii="Arial"/>
          <w:i/>
          <w:color w:val="0000FF"/>
          <w:sz w:val="16"/>
        </w:rPr>
      </w:r>
      <w:hyperlink r:id="rId12">
        <w:r>
          <w:rPr>
            <w:rFonts w:ascii="Arial"/>
            <w:i/>
            <w:color w:val="0000FF"/>
            <w:sz w:val="16"/>
            <w:u w:val="single" w:color="0000FF"/>
          </w:rPr>
          <w:t>Lignite/Brown Coa</w:t>
        </w:r>
        <w:r>
          <w:rPr>
            <w:rFonts w:ascii="Arial"/>
            <w:i/>
            <w:color w:val="0000FF"/>
            <w:sz w:val="16"/>
          </w:rPr>
          <w:t>l</w:t>
        </w:r>
        <w:r>
          <w:rPr>
            <w:rFonts w:ascii="Arial"/>
            <w:sz w:val="16"/>
          </w:rPr>
          <w:t>,</w:t>
        </w:r>
      </w:hyperlink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2015</w:t>
      </w:r>
    </w:p>
    <w:p>
      <w:pPr>
        <w:spacing w:line="184" w:lineRule="exact" w:before="0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2 </w:t>
      </w:r>
      <w:r>
        <w:rPr>
          <w:rFonts w:ascii="Arial"/>
          <w:sz w:val="16"/>
        </w:rPr>
        <w:t>A. F. Britt </w:t>
      </w:r>
      <w:r>
        <w:rPr>
          <w:rFonts w:ascii="Arial"/>
          <w:i/>
          <w:sz w:val="16"/>
        </w:rPr>
        <w:t>et al., </w:t>
      </w:r>
      <w:r>
        <w:rPr>
          <w:rFonts w:ascii="Arial"/>
          <w:i/>
          <w:color w:val="0000FF"/>
          <w:sz w:val="16"/>
        </w:rPr>
      </w:r>
      <w:hyperlink r:id="rId13">
        <w:r>
          <w:rPr>
            <w:rFonts w:ascii="Arial"/>
            <w:i/>
            <w:color w:val="0000FF"/>
            <w:sz w:val="16"/>
            <w:u w:val="single" w:color="0000FF"/>
          </w:rPr>
          <w:t>Australia's Identified Mineral Resources 2014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i/>
            <w:sz w:val="16"/>
          </w:rPr>
          <w:t>,</w:t>
        </w:r>
      </w:hyperlink>
      <w:r>
        <w:rPr>
          <w:rFonts w:ascii="Arial"/>
          <w:i/>
          <w:sz w:val="16"/>
        </w:rPr>
        <w:t> </w:t>
      </w:r>
      <w:r>
        <w:rPr>
          <w:rFonts w:ascii="Arial"/>
          <w:sz w:val="16"/>
        </w:rPr>
        <w:t>Geoscience Australia, Canberra, p.</w:t>
      </w:r>
      <w:r>
        <w:rPr>
          <w:rFonts w:ascii="Arial"/>
          <w:spacing w:val="-27"/>
          <w:sz w:val="16"/>
        </w:rPr>
        <w:t> </w:t>
      </w:r>
      <w:r>
        <w:rPr>
          <w:rFonts w:ascii="Arial"/>
          <w:sz w:val="16"/>
        </w:rPr>
        <w:t>4</w:t>
      </w:r>
    </w:p>
    <w:p>
      <w:pPr>
        <w:spacing w:line="184" w:lineRule="exact" w:before="0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3 </w:t>
      </w:r>
      <w:r>
        <w:rPr>
          <w:rFonts w:ascii="Arial"/>
          <w:sz w:val="16"/>
        </w:rPr>
        <w:t>Geoscience Australia, </w:t>
      </w:r>
      <w:r>
        <w:rPr>
          <w:rFonts w:ascii="Arial"/>
          <w:i/>
          <w:color w:val="0000FF"/>
          <w:sz w:val="16"/>
        </w:rPr>
      </w:r>
      <w:hyperlink r:id="rId14">
        <w:r>
          <w:rPr>
            <w:rFonts w:ascii="Arial"/>
            <w:i/>
            <w:color w:val="0000FF"/>
            <w:sz w:val="16"/>
            <w:u w:val="single" w:color="0000FF"/>
          </w:rPr>
          <w:t>Australian atlas of mineral resources, mines and processing centres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sz w:val="16"/>
          </w:rPr>
          <w:t>,</w:t>
        </w:r>
      </w:hyperlink>
      <w:r>
        <w:rPr>
          <w:rFonts w:ascii="Arial"/>
          <w:spacing w:val="-15"/>
          <w:sz w:val="16"/>
        </w:rPr>
        <w:t> </w:t>
      </w:r>
      <w:r>
        <w:rPr>
          <w:rFonts w:ascii="Arial"/>
          <w:sz w:val="16"/>
        </w:rPr>
        <w:t>2012</w:t>
      </w:r>
    </w:p>
    <w:p>
      <w:pPr>
        <w:spacing w:line="185" w:lineRule="exact" w:before="0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4 </w:t>
      </w:r>
      <w:r>
        <w:rPr>
          <w:rFonts w:ascii="Arial"/>
          <w:sz w:val="16"/>
        </w:rPr>
        <w:t>Victorian Government, </w:t>
      </w:r>
      <w:r>
        <w:rPr>
          <w:rFonts w:ascii="Arial"/>
          <w:i/>
          <w:color w:val="0000FF"/>
          <w:sz w:val="16"/>
        </w:rPr>
      </w:r>
      <w:r>
        <w:rPr>
          <w:rFonts w:ascii="Arial"/>
          <w:i/>
          <w:color w:val="0000FF"/>
          <w:sz w:val="16"/>
          <w:u w:val="single" w:color="0000FF"/>
        </w:rPr>
        <w:t>Victorian Budget 2015-16, Budget Paper 5: Statement of Finances</w:t>
      </w:r>
      <w:r>
        <w:rPr>
          <w:rFonts w:ascii="Arial"/>
          <w:i/>
          <w:color w:val="0000FF"/>
          <w:sz w:val="16"/>
        </w:rPr>
      </w:r>
      <w:r>
        <w:rPr>
          <w:rFonts w:ascii="Arial"/>
          <w:i/>
          <w:sz w:val="16"/>
        </w:rPr>
        <w:t>, </w:t>
      </w:r>
      <w:r>
        <w:rPr>
          <w:rFonts w:ascii="Arial"/>
          <w:sz w:val="16"/>
        </w:rPr>
        <w:t>p.</w:t>
      </w:r>
      <w:r>
        <w:rPr>
          <w:rFonts w:ascii="Arial"/>
          <w:spacing w:val="-16"/>
          <w:sz w:val="16"/>
        </w:rPr>
        <w:t> </w:t>
      </w:r>
      <w:r>
        <w:rPr>
          <w:rFonts w:ascii="Arial"/>
          <w:sz w:val="16"/>
        </w:rPr>
        <w:t>185</w:t>
      </w:r>
    </w:p>
    <w:p>
      <w:pPr>
        <w:spacing w:line="182" w:lineRule="exact" w:before="16"/>
        <w:ind w:left="282" w:right="219" w:hanging="14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5 </w:t>
      </w:r>
      <w:r>
        <w:rPr>
          <w:rFonts w:ascii="Arial"/>
          <w:sz w:val="16"/>
        </w:rPr>
        <w:t>State Government of Victoria, </w:t>
      </w:r>
      <w:r>
        <w:rPr>
          <w:rFonts w:ascii="Arial"/>
          <w:i/>
          <w:color w:val="0000FF"/>
          <w:sz w:val="16"/>
        </w:rPr>
      </w:r>
      <w:hyperlink r:id="rId12">
        <w:r>
          <w:rPr>
            <w:rFonts w:ascii="Arial"/>
            <w:i/>
            <w:color w:val="0000FF"/>
            <w:sz w:val="16"/>
            <w:u w:val="single" w:color="0000FF"/>
          </w:rPr>
          <w:t>Lignite/Brown Coa</w:t>
        </w:r>
        <w:r>
          <w:rPr>
            <w:rFonts w:ascii="Arial"/>
            <w:i/>
            <w:color w:val="0000FF"/>
            <w:sz w:val="16"/>
          </w:rPr>
          <w:t>l</w:t>
        </w:r>
        <w:r>
          <w:rPr>
            <w:rFonts w:ascii="Arial"/>
            <w:sz w:val="16"/>
          </w:rPr>
          <w:t>,</w:t>
        </w:r>
      </w:hyperlink>
      <w:r>
        <w:rPr>
          <w:rFonts w:ascii="Arial"/>
          <w:spacing w:val="-25"/>
          <w:sz w:val="16"/>
        </w:rPr>
        <w:t> </w:t>
      </w:r>
      <w:r>
        <w:rPr>
          <w:rFonts w:ascii="Arial"/>
          <w:sz w:val="16"/>
        </w:rPr>
        <w:t>2015</w:t>
      </w:r>
      <w:hyperlink r:id="rId12">
        <w:r>
          <w:rPr>
            <w:rFonts w:ascii="Arial"/>
            <w:sz w:val="16"/>
          </w:rPr>
          <w:t>.</w:t>
        </w:r>
        <w:r>
          <w:rPr>
            <w:rFonts w:ascii="Arial"/>
            <w:color w:val="0000FF"/>
            <w:sz w:val="16"/>
          </w:rPr>
        </w:r>
        <w:r>
          <w:rPr>
            <w:rFonts w:ascii="Arial"/>
            <w:color w:val="0000FF"/>
            <w:sz w:val="16"/>
            <w:u w:val="single" w:color="0000FF"/>
          </w:rPr>
          <w:t>http://www.energyandresources.vic.gov.au/earth-resources/victorias-</w:t>
        </w:r>
        <w:r>
          <w:rPr>
            <w:rFonts w:ascii="Arial"/>
            <w:color w:val="0000FF"/>
            <w:w w:val="100"/>
            <w:sz w:val="16"/>
          </w:rPr>
        </w:r>
      </w:hyperlink>
      <w:r>
        <w:rPr>
          <w:rFonts w:ascii="Arial"/>
          <w:color w:val="0000FF"/>
          <w:w w:val="100"/>
          <w:sz w:val="16"/>
        </w:rPr>
        <w:t> </w:t>
      </w:r>
      <w:hyperlink r:id="rId12">
        <w:r>
          <w:rPr>
            <w:rFonts w:ascii="Arial"/>
            <w:color w:val="0000FF"/>
            <w:w w:val="100"/>
            <w:sz w:val="16"/>
          </w:rPr>
        </w:r>
        <w:r>
          <w:rPr>
            <w:rFonts w:ascii="Arial"/>
            <w:color w:val="0000FF"/>
            <w:sz w:val="16"/>
            <w:u w:val="single" w:color="0000FF"/>
          </w:rPr>
          <w:t>earth-resources/coa</w:t>
        </w:r>
        <w:r>
          <w:rPr>
            <w:rFonts w:ascii="Arial"/>
            <w:color w:val="0000FF"/>
            <w:sz w:val="16"/>
          </w:rPr>
          <w:t>l</w:t>
        </w:r>
        <w:r>
          <w:rPr>
            <w:rFonts w:ascii="Arial"/>
            <w:sz w:val="16"/>
          </w:rPr>
        </w:r>
      </w:hyperlink>
    </w:p>
    <w:p>
      <w:pPr>
        <w:spacing w:after="0" w:line="182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52" w:top="1340" w:bottom="860" w:left="1300" w:right="1300"/>
        </w:sectPr>
      </w:pPr>
    </w:p>
    <w:p>
      <w:pPr>
        <w:pStyle w:val="BodyText"/>
        <w:spacing w:line="240" w:lineRule="auto" w:before="59"/>
        <w:ind w:right="235"/>
        <w:jc w:val="left"/>
        <w:rPr>
          <w:sz w:val="13"/>
          <w:szCs w:val="13"/>
        </w:rPr>
      </w:pPr>
      <w:r>
        <w:rPr/>
        <w:t>Lignite fuels 86 </w:t>
      </w:r>
      <w:r>
        <w:rPr>
          <w:rFonts w:ascii="Arial" w:hAnsi="Arial" w:cs="Arial" w:eastAsia="Arial"/>
        </w:rPr>
        <w:t>per cent of Victoria’s grid electricity generation </w:t>
      </w:r>
      <w:r>
        <w:rPr>
          <w:rFonts w:ascii="Arial" w:hAnsi="Arial" w:cs="Arial" w:eastAsia="Arial"/>
          <w:spacing w:val="2"/>
        </w:rPr>
        <w:t>(</w:t>
      </w:r>
      <w:r>
        <w:rPr>
          <w:spacing w:val="2"/>
        </w:rPr>
        <w:t>22 </w:t>
      </w:r>
      <w:r>
        <w:rPr/>
        <w:t>per cent of national</w:t>
      </w:r>
      <w:r>
        <w:rPr>
          <w:spacing w:val="-31"/>
        </w:rPr>
        <w:t> </w:t>
      </w:r>
      <w:r>
        <w:rPr/>
        <w:t>generation),</w:t>
      </w:r>
      <w:r>
        <w:rPr>
          <w:w w:val="99"/>
        </w:rPr>
        <w:t> </w:t>
      </w:r>
      <w:r>
        <w:rPr/>
        <w:t>providing reliable and affordable electricity for businesses and</w:t>
      </w:r>
      <w:r>
        <w:rPr>
          <w:spacing w:val="-14"/>
        </w:rPr>
        <w:t> </w:t>
      </w:r>
      <w:r>
        <w:rPr/>
        <w:t>households.</w:t>
      </w:r>
      <w:r>
        <w:rPr>
          <w:position w:val="10"/>
          <w:sz w:val="13"/>
          <w:szCs w:val="13"/>
        </w:rPr>
        <w:t>6</w:t>
      </w:r>
      <w:r>
        <w:rPr>
          <w:sz w:val="13"/>
          <w:szCs w:val="13"/>
        </w:rPr>
      </w:r>
    </w:p>
    <w:p>
      <w:pPr>
        <w:pStyle w:val="BodyText"/>
        <w:spacing w:line="276" w:lineRule="auto" w:before="154"/>
        <w:ind w:right="235"/>
        <w:jc w:val="left"/>
        <w:rPr>
          <w:rFonts w:ascii="Arial" w:hAnsi="Arial" w:cs="Arial" w:eastAsia="Arial"/>
        </w:rPr>
      </w:pPr>
      <w:r>
        <w:rPr/>
        <w:t>It is clear that for the foreseeable future, coal and other fossil fuels will continue </w:t>
      </w:r>
      <w:r>
        <w:rPr>
          <w:spacing w:val="3"/>
        </w:rPr>
        <w:t>to </w:t>
      </w:r>
      <w:r>
        <w:rPr/>
        <w:t>play a</w:t>
      </w:r>
      <w:r>
        <w:rPr>
          <w:spacing w:val="-38"/>
        </w:rPr>
        <w:t> </w:t>
      </w:r>
      <w:r>
        <w:rPr/>
        <w:t>significant</w:t>
      </w:r>
      <w:r>
        <w:rPr>
          <w:w w:val="99"/>
        </w:rPr>
        <w:t> </w:t>
      </w:r>
      <w:r>
        <w:rPr/>
        <w:t>role in meeting growing global and Australian energy demands, providing energy security, and</w:t>
      </w:r>
      <w:r>
        <w:rPr>
          <w:spacing w:val="-15"/>
        </w:rPr>
        <w:t> </w:t>
      </w:r>
      <w:r>
        <w:rPr/>
        <w:t>in</w:t>
      </w:r>
      <w:r>
        <w:rPr>
          <w:w w:val="99"/>
        </w:rPr>
        <w:t> </w:t>
      </w:r>
      <w:r>
        <w:rPr>
          <w:rFonts w:ascii="Arial" w:hAnsi="Arial" w:cs="Arial" w:eastAsia="Arial"/>
        </w:rPr>
        <w:t>Victoria’s case, generating significant energy, employment and</w:t>
      </w:r>
      <w:r>
        <w:rPr>
          <w:rFonts w:ascii="Arial" w:hAnsi="Arial" w:cs="Arial" w:eastAsia="Arial"/>
          <w:spacing w:val="-18"/>
        </w:rPr>
        <w:t> </w:t>
      </w:r>
      <w:r>
        <w:rPr>
          <w:rFonts w:ascii="Arial" w:hAnsi="Arial" w:cs="Arial" w:eastAsia="Arial"/>
        </w:rPr>
        <w:t>investment.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6 </w:t>
      </w:r>
      <w:r>
        <w:rPr>
          <w:rFonts w:ascii="Arial"/>
          <w:sz w:val="16"/>
        </w:rPr>
        <w:t>Electricity Supply Association of Australia, </w:t>
      </w:r>
      <w:r>
        <w:rPr>
          <w:rFonts w:ascii="Arial"/>
          <w:i/>
          <w:color w:val="0000FF"/>
          <w:sz w:val="16"/>
        </w:rPr>
      </w:r>
      <w:hyperlink r:id="rId15">
        <w:r>
          <w:rPr>
            <w:rFonts w:ascii="Arial"/>
            <w:i/>
            <w:color w:val="0000FF"/>
            <w:sz w:val="16"/>
            <w:u w:val="single" w:color="0000FF"/>
          </w:rPr>
          <w:t>Electricity Gas Australia</w:t>
        </w:r>
        <w:r>
          <w:rPr>
            <w:rFonts w:ascii="Arial"/>
            <w:i/>
            <w:color w:val="0000FF"/>
            <w:spacing w:val="-15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2015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sz w:val="16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52" w:top="1340" w:bottom="860" w:left="1300" w:right="1300"/>
        </w:sectPr>
      </w:pPr>
    </w:p>
    <w:p>
      <w:pPr>
        <w:pStyle w:val="Heading1"/>
        <w:numPr>
          <w:ilvl w:val="0"/>
          <w:numId w:val="2"/>
        </w:numPr>
        <w:tabs>
          <w:tab w:pos="573" w:val="left" w:leader="none"/>
        </w:tabs>
        <w:spacing w:line="240" w:lineRule="auto" w:before="58" w:after="0"/>
        <w:ind w:left="572" w:right="235" w:hanging="432"/>
        <w:jc w:val="left"/>
        <w:rPr>
          <w:b w:val="0"/>
          <w:bCs w:val="0"/>
        </w:rPr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M</w:t>
      </w:r>
      <w:r>
        <w:rPr/>
        <w:t>INERALS INDUSTRY COMMITMENT TO SUSTAINABLE</w:t>
      </w:r>
      <w:r>
        <w:rPr>
          <w:spacing w:val="-4"/>
        </w:rPr>
        <w:t> </w:t>
      </w:r>
      <w:r>
        <w:rPr/>
        <w:t>DEVELOPMENT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75pt;height:.5pt;mso-position-horizontal-relative:char;mso-position-vertical-relative:line" coordorigin="0,0" coordsize="9095,10">
            <v:group style="position:absolute;left:5;top:5;width:9086;height:2" coordorigin="5,5" coordsize="9086,2">
              <v:shape style="position:absolute;left:5;top:5;width:9086;height:2" coordorigin="5,5" coordsize="9086,0" path="m5,5l9090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76" w:lineRule="auto" w:before="74"/>
        <w:ind w:right="235"/>
        <w:jc w:val="left"/>
      </w:pPr>
      <w:r>
        <w:rPr/>
        <w:t>Members of the MCA have a long-standing commitment to sustainable development including</w:t>
      </w:r>
      <w:r>
        <w:rPr>
          <w:spacing w:val="-29"/>
        </w:rPr>
        <w:t> </w:t>
      </w:r>
      <w:r>
        <w:rPr/>
        <w:t>the</w:t>
      </w:r>
      <w:r>
        <w:rPr>
          <w:w w:val="99"/>
        </w:rPr>
        <w:t> </w:t>
      </w:r>
      <w:r>
        <w:rPr/>
        <w:t>responsible stewardship of natural</w:t>
      </w:r>
      <w:r>
        <w:rPr>
          <w:spacing w:val="-17"/>
        </w:rPr>
        <w:t> </w:t>
      </w:r>
      <w:r>
        <w:rPr/>
        <w:t>resources.</w:t>
      </w:r>
    </w:p>
    <w:p>
      <w:pPr>
        <w:spacing w:line="276" w:lineRule="auto" w:before="83"/>
        <w:ind w:left="140" w:right="23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z w:val="20"/>
          <w:szCs w:val="20"/>
        </w:rPr>
        <w:t>Enduring Value - The Australian Minerals Industry Framework for Sustainable Development</w:t>
      </w:r>
      <w:r>
        <w:rPr>
          <w:rFonts w:ascii="Arial" w:hAnsi="Arial" w:cs="Arial" w:eastAsia="Arial"/>
          <w:i/>
          <w:position w:val="10"/>
          <w:sz w:val="13"/>
          <w:szCs w:val="13"/>
        </w:rPr>
        <w:t>7 </w:t>
      </w:r>
      <w:r>
        <w:rPr>
          <w:rFonts w:ascii="Arial" w:hAnsi="Arial" w:cs="Arial" w:eastAsia="Arial"/>
          <w:sz w:val="20"/>
          <w:szCs w:val="20"/>
        </w:rPr>
        <w:t>puts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minerals </w:t>
      </w:r>
      <w:r>
        <w:rPr>
          <w:rFonts w:ascii="Arial" w:hAnsi="Arial" w:cs="Arial" w:eastAsia="Arial"/>
          <w:sz w:val="20"/>
          <w:szCs w:val="20"/>
        </w:rPr>
        <w:t>industry’s commitment to sustainable development into practice. In the mining and</w:t>
      </w:r>
      <w:r>
        <w:rPr>
          <w:rFonts w:ascii="Arial" w:hAnsi="Arial" w:cs="Arial" w:eastAsia="Arial"/>
          <w:spacing w:val="-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metals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sector, sustainable development means that minerals projects should be safe, financially</w:t>
      </w:r>
      <w:r>
        <w:rPr>
          <w:rFonts w:ascii="Arial" w:hAnsi="Arial" w:cs="Arial" w:eastAsia="Arial"/>
          <w:spacing w:val="-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profitable,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technically appropriate and environmentally and socially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responsible.</w:t>
      </w:r>
    </w:p>
    <w:p>
      <w:pPr>
        <w:pStyle w:val="BodyText"/>
        <w:spacing w:line="276" w:lineRule="auto" w:before="118"/>
        <w:ind w:right="113"/>
        <w:jc w:val="left"/>
      </w:pPr>
      <w:r>
        <w:rPr>
          <w:rFonts w:ascii="Arial" w:hAnsi="Arial" w:cs="Arial" w:eastAsia="Arial"/>
          <w:i/>
        </w:rPr>
        <w:t>Enduring Value </w:t>
      </w:r>
      <w:r>
        <w:rPr/>
        <w:t>was developed by the minerals industry and launched in 2006 as an articulation of</w:t>
      </w:r>
      <w:r>
        <w:rPr>
          <w:spacing w:val="-25"/>
        </w:rPr>
        <w:t> </w:t>
      </w:r>
      <w:r>
        <w:rPr/>
        <w:t>the</w:t>
      </w:r>
      <w:r>
        <w:rPr>
          <w:w w:val="99"/>
        </w:rPr>
        <w:t> </w:t>
      </w:r>
      <w:r>
        <w:rPr>
          <w:rFonts w:ascii="Arial" w:hAnsi="Arial" w:cs="Arial" w:eastAsia="Arial"/>
        </w:rPr>
        <w:t>industry’s commitment to sustainable development. Since its adoption by MCA member companies</w:t>
      </w:r>
      <w:r>
        <w:rPr>
          <w:rFonts w:ascii="Arial" w:hAnsi="Arial" w:cs="Arial" w:eastAsia="Arial"/>
          <w:spacing w:val="-31"/>
        </w:rPr>
        <w:t> </w:t>
      </w:r>
      <w:r>
        <w:rPr>
          <w:rFonts w:ascii="Arial" w:hAnsi="Arial" w:cs="Arial" w:eastAsia="Arial"/>
        </w:rPr>
        <w:t>it</w:t>
      </w:r>
      <w:r>
        <w:rPr>
          <w:rFonts w:ascii="Arial" w:hAnsi="Arial" w:cs="Arial" w:eastAsia="Arial"/>
          <w:w w:val="99"/>
        </w:rPr>
        <w:t> </w:t>
      </w:r>
      <w:r>
        <w:rPr/>
        <w:t>has been recognised internationally as a leading industry model. The influence of the </w:t>
      </w:r>
      <w:r>
        <w:rPr>
          <w:rFonts w:ascii="Arial" w:hAnsi="Arial" w:cs="Arial" w:eastAsia="Arial"/>
          <w:i/>
        </w:rPr>
        <w:t>Enduring</w:t>
      </w:r>
      <w:r>
        <w:rPr>
          <w:rFonts w:ascii="Arial" w:hAnsi="Arial" w:cs="Arial" w:eastAsia="Arial"/>
          <w:i/>
          <w:spacing w:val="-23"/>
        </w:rPr>
        <w:t> </w:t>
      </w:r>
      <w:r>
        <w:rPr>
          <w:rFonts w:ascii="Arial" w:hAnsi="Arial" w:cs="Arial" w:eastAsia="Arial"/>
          <w:i/>
        </w:rPr>
        <w:t>Value</w:t>
      </w:r>
      <w:r>
        <w:rPr>
          <w:rFonts w:ascii="Arial" w:hAnsi="Arial" w:cs="Arial" w:eastAsia="Arial"/>
          <w:i/>
          <w:w w:val="99"/>
        </w:rPr>
        <w:t> </w:t>
      </w:r>
      <w:r>
        <w:rPr/>
        <w:t>framework is evident in a wide range of legislation, tools and guidance materials applicable</w:t>
      </w:r>
      <w:r>
        <w:rPr>
          <w:spacing w:val="-16"/>
        </w:rPr>
        <w:t> </w:t>
      </w:r>
      <w:r>
        <w:rPr/>
        <w:t>to</w:t>
      </w:r>
      <w:r>
        <w:rPr>
          <w:w w:val="99"/>
        </w:rPr>
        <w:t> </w:t>
      </w:r>
      <w:r>
        <w:rPr/>
        <w:t>extractive industries in Australia and the</w:t>
      </w:r>
      <w:r>
        <w:rPr>
          <w:spacing w:val="-20"/>
        </w:rPr>
        <w:t> </w:t>
      </w:r>
      <w:r>
        <w:rPr/>
        <w:t>region.</w:t>
      </w:r>
    </w:p>
    <w:p>
      <w:pPr>
        <w:pStyle w:val="BodyText"/>
        <w:spacing w:line="276" w:lineRule="auto" w:before="118"/>
        <w:ind w:right="205"/>
        <w:jc w:val="both"/>
      </w:pPr>
      <w:r>
        <w:rPr>
          <w:rFonts w:ascii="Arial"/>
          <w:i/>
        </w:rPr>
        <w:t>Enduring Value </w:t>
      </w:r>
      <w:r>
        <w:rPr/>
        <w:t>has been recently updated to reflect emerging global initiatives in the areas of</w:t>
      </w:r>
      <w:r>
        <w:rPr>
          <w:spacing w:val="-18"/>
        </w:rPr>
        <w:t> </w:t>
      </w:r>
      <w:r>
        <w:rPr/>
        <w:t>human</w:t>
      </w:r>
      <w:r>
        <w:rPr>
          <w:w w:val="99"/>
        </w:rPr>
        <w:t> </w:t>
      </w:r>
      <w:r>
        <w:rPr/>
        <w:t>rights and materials stewardship. It also been simplified to reflect the extent to which the principles</w:t>
      </w:r>
      <w:r>
        <w:rPr>
          <w:spacing w:val="-26"/>
        </w:rPr>
        <w:t> </w:t>
      </w:r>
      <w:r>
        <w:rPr/>
        <w:t>of</w:t>
      </w:r>
      <w:r>
        <w:rPr>
          <w:w w:val="99"/>
        </w:rPr>
        <w:t> </w:t>
      </w:r>
      <w:r>
        <w:rPr/>
        <w:t>sustainable development have been integrated into company</w:t>
      </w:r>
      <w:r>
        <w:rPr>
          <w:spacing w:val="-26"/>
        </w:rPr>
        <w:t> </w:t>
      </w:r>
      <w:r>
        <w:rPr/>
        <w:t>practices.</w:t>
      </w:r>
    </w:p>
    <w:p>
      <w:pPr>
        <w:pStyle w:val="BodyText"/>
        <w:spacing w:line="276" w:lineRule="auto" w:before="120"/>
        <w:ind w:right="235"/>
        <w:jc w:val="left"/>
      </w:pPr>
      <w:r>
        <w:rPr/>
        <w:t>Industry and external stakeholders were engaged in the update to test the relevance, focus</w:t>
      </w:r>
      <w:r>
        <w:rPr>
          <w:spacing w:val="-22"/>
        </w:rPr>
        <w:t> </w:t>
      </w:r>
      <w:r>
        <w:rPr/>
        <w:t>and</w:t>
      </w:r>
      <w:r>
        <w:rPr>
          <w:w w:val="99"/>
        </w:rPr>
        <w:t> </w:t>
      </w:r>
      <w:r>
        <w:rPr/>
        <w:t>approach of the </w:t>
      </w:r>
      <w:r>
        <w:rPr>
          <w:rFonts w:ascii="Arial"/>
          <w:i/>
        </w:rPr>
        <w:t>Enduring Value </w:t>
      </w:r>
      <w:r>
        <w:rPr/>
        <w:t>framework. This affirmed its value as a tool for</w:t>
      </w:r>
      <w:r>
        <w:rPr>
          <w:spacing w:val="-19"/>
        </w:rPr>
        <w:t> </w:t>
      </w:r>
      <w:r>
        <w:rPr/>
        <w:t>continuous</w:t>
      </w:r>
      <w:r>
        <w:rPr>
          <w:w w:val="99"/>
        </w:rPr>
        <w:t> </w:t>
      </w:r>
      <w:r>
        <w:rPr/>
        <w:t>improvement in sustainability over and above legislative</w:t>
      </w:r>
      <w:r>
        <w:rPr>
          <w:spacing w:val="-20"/>
        </w:rPr>
        <w:t> </w:t>
      </w:r>
      <w:r>
        <w:rPr/>
        <w:t>requirements.</w:t>
      </w:r>
    </w:p>
    <w:p>
      <w:pPr>
        <w:pStyle w:val="BodyText"/>
        <w:spacing w:line="278" w:lineRule="auto" w:before="118"/>
        <w:ind w:right="235"/>
        <w:jc w:val="left"/>
      </w:pPr>
      <w:r>
        <w:rPr/>
        <w:t>The </w:t>
      </w:r>
      <w:r>
        <w:rPr>
          <w:rFonts w:ascii="Arial" w:hAnsi="Arial" w:cs="Arial" w:eastAsia="Arial"/>
          <w:i/>
        </w:rPr>
        <w:t>Enduring Value </w:t>
      </w:r>
      <w:r>
        <w:rPr>
          <w:rFonts w:ascii="Arial" w:hAnsi="Arial" w:cs="Arial" w:eastAsia="Arial"/>
        </w:rPr>
        <w:t>framework drives continuous improvement of the industry’s performance on</w:t>
      </w:r>
      <w:r>
        <w:rPr>
          <w:rFonts w:ascii="Arial" w:hAnsi="Arial" w:cs="Arial" w:eastAsia="Arial"/>
          <w:spacing w:val="-24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w w:val="99"/>
        </w:rPr>
        <w:t> </w:t>
      </w:r>
      <w:r>
        <w:rPr/>
        <w:t>social, safety and environmental aspects of its activities in three</w:t>
      </w:r>
      <w:r>
        <w:rPr>
          <w:spacing w:val="-27"/>
        </w:rPr>
        <w:t> </w:t>
      </w:r>
      <w:r>
        <w:rPr/>
        <w:t>ways: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3" w:lineRule="auto" w:before="114" w:after="0"/>
        <w:ind w:left="860" w:right="31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it is a condition of membership of the MCA that companies accept the principles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z w:val="20"/>
        </w:rPr>
        <w:t>Enduring</w:t>
      </w:r>
      <w:r>
        <w:rPr>
          <w:rFonts w:ascii="Arial"/>
          <w:i/>
          <w:w w:val="99"/>
          <w:sz w:val="20"/>
        </w:rPr>
        <w:t> </w:t>
      </w:r>
      <w:r>
        <w:rPr>
          <w:rFonts w:ascii="Arial"/>
          <w:i/>
          <w:sz w:val="20"/>
        </w:rPr>
        <w:t>Value</w:t>
      </w:r>
      <w:r>
        <w:rPr>
          <w:rFonts w:ascii="Arial"/>
          <w:sz w:val="20"/>
        </w:rPr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123" w:after="0"/>
        <w:ind w:left="860" w:right="88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it assists the industry to operate in a manner that is attuned to the expectations of</w:t>
      </w:r>
      <w:r>
        <w:rPr>
          <w:rFonts w:ascii="Arial" w:hAnsi="Arial" w:cs="Arial" w:eastAsia="Arial"/>
          <w:spacing w:val="-2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community and which seeks to maximise the long-term benefits to society that can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achieved through the effective management of Australia’s natural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</w:t>
      </w:r>
      <w:r>
        <w:rPr>
          <w:rFonts w:ascii="Arial" w:hAnsi="Arial" w:cs="Arial" w:eastAsia="Arial"/>
          <w:sz w:val="20"/>
          <w:szCs w:val="20"/>
        </w:rPr>
        <w:t>sources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1" w:lineRule="auto" w:before="119" w:after="0"/>
        <w:ind w:left="860" w:right="226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it provides practical guidance to companies on how to translate the ten principles of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i/>
          <w:sz w:val="20"/>
        </w:rPr>
        <w:t>Enduring</w:t>
      </w:r>
      <w:r>
        <w:rPr>
          <w:rFonts w:ascii="Arial"/>
          <w:i/>
          <w:w w:val="99"/>
          <w:sz w:val="20"/>
        </w:rPr>
        <w:t> </w:t>
      </w:r>
      <w:r>
        <w:rPr>
          <w:rFonts w:ascii="Arial"/>
          <w:i/>
          <w:sz w:val="20"/>
        </w:rPr>
        <w:t>Value </w:t>
      </w:r>
      <w:r>
        <w:rPr>
          <w:rFonts w:ascii="Arial"/>
          <w:sz w:val="20"/>
        </w:rPr>
        <w:t>into practices that support their sustainable development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goals.</w:t>
      </w:r>
    </w:p>
    <w:p>
      <w:pPr>
        <w:pStyle w:val="Heading2"/>
        <w:spacing w:line="240" w:lineRule="auto" w:before="127"/>
        <w:ind w:right="235"/>
        <w:jc w:val="left"/>
        <w:rPr>
          <w:b w:val="0"/>
          <w:bCs w:val="0"/>
        </w:rPr>
      </w:pPr>
      <w:bookmarkStart w:name="_bookmark5" w:id="9"/>
      <w:bookmarkEnd w:id="9"/>
      <w:r>
        <w:rPr>
          <w:b w:val="0"/>
        </w:rPr>
      </w:r>
      <w:r>
        <w:rPr/>
        <w:t>Rehabilitation and Mine Closure</w:t>
      </w:r>
      <w:r>
        <w:rPr>
          <w:spacing w:val="-6"/>
        </w:rPr>
        <w:t> </w:t>
      </w:r>
      <w:r>
        <w:rPr/>
        <w:t>Policy</w:t>
      </w:r>
      <w:r>
        <w:rPr>
          <w:b w:val="0"/>
        </w:rPr>
      </w:r>
    </w:p>
    <w:p>
      <w:pPr>
        <w:pStyle w:val="BodyText"/>
        <w:spacing w:line="276" w:lineRule="auto" w:before="156"/>
        <w:ind w:right="235"/>
        <w:jc w:val="left"/>
      </w:pPr>
      <w:r>
        <w:rPr/>
        <w:t>While mining is a temporary land use, the minerals industry acknowledges its responsibility</w:t>
      </w:r>
      <w:r>
        <w:rPr>
          <w:spacing w:val="-21"/>
        </w:rPr>
        <w:t> </w:t>
      </w:r>
      <w:r>
        <w:rPr/>
        <w:t>to</w:t>
      </w:r>
      <w:r>
        <w:rPr>
          <w:w w:val="99"/>
        </w:rPr>
        <w:t> </w:t>
      </w:r>
      <w:r>
        <w:rPr/>
        <w:t>contribute towards sustainable land use</w:t>
      </w:r>
      <w:r>
        <w:rPr>
          <w:spacing w:val="-14"/>
        </w:rPr>
        <w:t> </w:t>
      </w:r>
      <w:r>
        <w:rPr/>
        <w:t>outcomes.</w:t>
      </w:r>
    </w:p>
    <w:p>
      <w:pPr>
        <w:pStyle w:val="BodyText"/>
        <w:spacing w:line="278" w:lineRule="auto" w:before="118"/>
        <w:ind w:right="235"/>
        <w:jc w:val="left"/>
      </w:pPr>
      <w:r>
        <w:rPr/>
        <w:t>Principle 6 of </w:t>
      </w:r>
      <w:r>
        <w:rPr>
          <w:rFonts w:ascii="Arial"/>
          <w:i/>
        </w:rPr>
        <w:t>Enduring Value</w:t>
      </w:r>
      <w:r>
        <w:rPr/>
        <w:t>: Seek continual improvement of our environmental performance</w:t>
      </w:r>
      <w:r>
        <w:rPr>
          <w:spacing w:val="-18"/>
        </w:rPr>
        <w:t> </w:t>
      </w:r>
      <w:r>
        <w:rPr/>
        <w:t>-</w:t>
      </w:r>
      <w:r>
        <w:rPr>
          <w:w w:val="99"/>
        </w:rPr>
        <w:t> </w:t>
      </w:r>
      <w:r>
        <w:rPr/>
        <w:t>specifically describes commitments for rehabilitation, mine closure and cumulative</w:t>
      </w:r>
      <w:r>
        <w:rPr>
          <w:spacing w:val="-17"/>
        </w:rPr>
        <w:t> </w:t>
      </w:r>
      <w:r>
        <w:rPr/>
        <w:t>impacts.</w:t>
      </w:r>
    </w:p>
    <w:p>
      <w:pPr>
        <w:pStyle w:val="BodyText"/>
        <w:spacing w:line="261" w:lineRule="auto" w:before="120"/>
        <w:ind w:right="209"/>
        <w:jc w:val="left"/>
      </w:pPr>
      <w:r>
        <w:rPr>
          <w:rFonts w:ascii="Arial" w:hAnsi="Arial" w:cs="Arial" w:eastAsia="Arial"/>
        </w:rPr>
        <w:t>At a national level, the minerals industry’s ‘footprint’ in the landscape is relatively small.</w:t>
      </w:r>
      <w:r>
        <w:rPr>
          <w:rFonts w:ascii="Arial" w:hAnsi="Arial" w:cs="Arial" w:eastAsia="Arial"/>
          <w:spacing w:val="49"/>
        </w:rPr>
        <w:t> </w:t>
      </w:r>
      <w:r>
        <w:rPr/>
        <w:t>While</w:t>
      </w:r>
      <w:r>
        <w:rPr>
          <w:w w:val="99"/>
        </w:rPr>
        <w:t> </w:t>
      </w:r>
      <w:r>
        <w:rPr/>
        <w:t>granted mining leases account for around 0.6 per cent</w:t>
      </w:r>
      <w:r>
        <w:rPr>
          <w:position w:val="10"/>
          <w:sz w:val="13"/>
          <w:szCs w:val="13"/>
        </w:rPr>
        <w:t>8 </w:t>
      </w:r>
      <w:r>
        <w:rPr/>
        <w:t>of the Australian land mass, the</w:t>
      </w:r>
      <w:r>
        <w:rPr>
          <w:spacing w:val="-38"/>
        </w:rPr>
        <w:t> </w:t>
      </w:r>
      <w:r>
        <w:rPr/>
        <w:t>minerals</w:t>
      </w:r>
      <w:r>
        <w:rPr>
          <w:w w:val="99"/>
        </w:rPr>
        <w:t> </w:t>
      </w:r>
      <w:r>
        <w:rPr>
          <w:rFonts w:ascii="Arial" w:hAnsi="Arial" w:cs="Arial" w:eastAsia="Arial"/>
        </w:rPr>
        <w:t>industry ‘footprint’ (including waste) occupies less tha</w:t>
      </w:r>
      <w:r>
        <w:rPr/>
        <w:t>n 0.3 per cent.</w:t>
      </w:r>
      <w:r>
        <w:rPr>
          <w:position w:val="10"/>
          <w:sz w:val="13"/>
          <w:szCs w:val="13"/>
        </w:rPr>
        <w:t>9 </w:t>
      </w:r>
      <w:r>
        <w:rPr/>
        <w:t>The minerals industry can be</w:t>
      </w:r>
      <w:r>
        <w:rPr>
          <w:spacing w:val="-23"/>
        </w:rPr>
        <w:t> </w:t>
      </w:r>
      <w:r>
        <w:rPr/>
        <w:t>a</w:t>
      </w:r>
      <w:r>
        <w:rPr>
          <w:w w:val="99"/>
        </w:rPr>
        <w:t> </w:t>
      </w:r>
      <w:r>
        <w:rPr/>
        <w:t>significant land manager at a regional level and non-operational land managed by the industry can</w:t>
      </w:r>
      <w:r>
        <w:rPr>
          <w:spacing w:val="-29"/>
        </w:rPr>
        <w:t> </w:t>
      </w:r>
      <w:r>
        <w:rPr/>
        <w:t>be</w:t>
      </w:r>
      <w:r>
        <w:rPr>
          <w:w w:val="99"/>
        </w:rPr>
        <w:t> </w:t>
      </w:r>
      <w:r>
        <w:rPr/>
        <w:t>significantly larger than the mining footprint. This land may be managed under existing or</w:t>
      </w:r>
      <w:r>
        <w:rPr>
          <w:spacing w:val="-18"/>
        </w:rPr>
        <w:t> </w:t>
      </w:r>
      <w:r>
        <w:rPr/>
        <w:t>alternative</w:t>
      </w:r>
      <w:r>
        <w:rPr>
          <w:w w:val="99"/>
        </w:rPr>
        <w:t> </w:t>
      </w:r>
      <w:r>
        <w:rPr/>
        <w:t>land</w:t>
      </w:r>
      <w:r>
        <w:rPr>
          <w:spacing w:val="-5"/>
        </w:rPr>
        <w:t> </w:t>
      </w:r>
      <w:r>
        <w:rPr/>
        <w:t>uses.</w:t>
      </w:r>
    </w:p>
    <w:p>
      <w:pPr>
        <w:pStyle w:val="BodyText"/>
        <w:spacing w:line="276" w:lineRule="auto" w:before="134"/>
        <w:ind w:right="113"/>
        <w:jc w:val="left"/>
      </w:pPr>
      <w:r>
        <w:rPr/>
        <w:t>The minerals industry recognises that while some previously mined areas are rehabilitated </w:t>
      </w:r>
      <w:r>
        <w:rPr>
          <w:spacing w:val="5"/>
        </w:rPr>
        <w:t>to</w:t>
      </w:r>
      <w:r>
        <w:rPr>
          <w:spacing w:val="-28"/>
        </w:rPr>
        <w:t> </w:t>
      </w:r>
      <w:r>
        <w:rPr/>
        <w:t>pre-</w:t>
      </w:r>
      <w:r>
        <w:rPr>
          <w:w w:val="99"/>
        </w:rPr>
        <w:t> </w:t>
      </w:r>
      <w:r>
        <w:rPr/>
        <w:t>existing condition or better, other mined areas result in substantial transformation of the landscape.</w:t>
      </w:r>
      <w:r>
        <w:rPr>
          <w:spacing w:val="24"/>
        </w:rPr>
        <w:t> </w:t>
      </w:r>
      <w:r>
        <w:rPr/>
        <w:t>It</w:t>
      </w:r>
      <w:r>
        <w:rPr>
          <w:w w:val="99"/>
        </w:rPr>
        <w:t> </w:t>
      </w:r>
      <w:r>
        <w:rPr/>
        <w:t>is the minerals industry's goal to ensure that this land is available for beneficial post-mining land</w:t>
      </w:r>
      <w:r>
        <w:rPr>
          <w:spacing w:val="-28"/>
        </w:rPr>
        <w:t> </w:t>
      </w:r>
      <w:r>
        <w:rPr/>
        <w:t>use,</w:t>
      </w:r>
      <w:r>
        <w:rPr>
          <w:w w:val="99"/>
        </w:rPr>
        <w:t> </w:t>
      </w:r>
      <w:r>
        <w:rPr/>
        <w:t>including economic activities, conservation or community</w:t>
      </w:r>
      <w:r>
        <w:rPr>
          <w:spacing w:val="-18"/>
        </w:rPr>
        <w:t> </w:t>
      </w:r>
      <w:r>
        <w:rPr/>
        <w:t>use.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8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90" w:lineRule="exact" w:before="48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7  </w:t>
      </w:r>
      <w:r>
        <w:rPr>
          <w:rFonts w:ascii="Arial"/>
          <w:sz w:val="16"/>
        </w:rPr>
        <w:t>Minerals Council of Australia, </w:t>
      </w:r>
      <w:r>
        <w:rPr>
          <w:rFonts w:ascii="Arial"/>
          <w:i/>
          <w:color w:val="0000FF"/>
          <w:sz w:val="16"/>
        </w:rPr>
      </w:r>
      <w:hyperlink r:id="rId16">
        <w:r>
          <w:rPr>
            <w:rFonts w:ascii="Arial"/>
            <w:i/>
            <w:color w:val="0000FF"/>
            <w:sz w:val="16"/>
            <w:u w:val="single" w:color="0000FF"/>
          </w:rPr>
          <w:t>Enduring Value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i/>
            <w:sz w:val="16"/>
          </w:rPr>
          <w:t>,</w:t>
        </w:r>
      </w:hyperlink>
      <w:r>
        <w:rPr>
          <w:rFonts w:ascii="Arial"/>
          <w:i/>
          <w:spacing w:val="-27"/>
          <w:sz w:val="16"/>
        </w:rPr>
        <w:t> </w:t>
      </w:r>
      <w:r>
        <w:rPr>
          <w:rFonts w:ascii="Arial"/>
          <w:sz w:val="16"/>
        </w:rPr>
        <w:t>2015</w:t>
      </w:r>
    </w:p>
    <w:p>
      <w:pPr>
        <w:spacing w:line="132" w:lineRule="exact" w:before="0"/>
        <w:ind w:left="140" w:right="235" w:firstLine="0"/>
        <w:jc w:val="left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78.384003pt;margin-top:1.000809pt;width:418.05pt;height:22.9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68"/>
                    <w:gridCol w:w="1692"/>
                  </w:tblGrid>
                  <w:tr>
                    <w:trPr>
                      <w:trHeight w:val="230" w:hRule="exact"/>
                    </w:trPr>
                    <w:tc>
                      <w:tcPr>
                        <w:tcW w:w="66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7" w:space="0" w:color="F8F8F8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right="-43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ls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ini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(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f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er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ly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ie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G)-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ini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g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an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era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ls</w:t>
                        </w:r>
                        <w:r>
                          <w:rPr>
                            <w:rFonts w:ascii="Arial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da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aba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c</w:t>
                        </w:r>
                        <w:r>
                          <w:rPr>
                            <w:rFonts w:ascii="Arial"/>
                            <w:spacing w:val="-4"/>
                            <w:w w:val="10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w w:val="10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spacing w:val="-1"/>
                            <w:w w:val="100"/>
                            <w:sz w:val="16"/>
                          </w:rPr>
                          <w:t>201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6"/>
                          </w:rPr>
                          <w:t>2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.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 w:sz="6" w:space="0" w:color="auto"/>
                          <w:left w:val="single" w:sz="17" w:space="0" w:color="F8F8F8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836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8F8F8"/>
                      </w:tcPr>
                      <w:p>
                        <w:pPr>
                          <w:pStyle w:val="TableParagraph"/>
                          <w:spacing w:line="240" w:lineRule="auto" w:before="44"/>
                          <w:ind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spacing w:val="-2"/>
                            <w:w w:val="100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spacing w:val="3"/>
                            <w:w w:val="100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5"/>
                          </w:rPr>
                          <w:t>(2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0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5"/>
                          </w:rPr>
                          <w:t>09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);</w:t>
                        </w:r>
                        <w:r>
                          <w:rPr>
                            <w:rFonts w:ascii="Arial"/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nd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100"/>
                            <w:sz w:val="15"/>
                          </w:rPr>
                          <w:t>Us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S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u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100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00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ry</w:t>
                        </w:r>
                        <w:r>
                          <w:rPr>
                            <w:rFonts w:ascii="Arial"/>
                            <w:i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us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0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al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ia,</w:t>
                        </w:r>
                        <w:r>
                          <w:rPr>
                            <w:rFonts w:ascii="Arial"/>
                            <w:i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us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0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al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100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ll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bo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ra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0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0"/>
                            <w:sz w:val="15"/>
                          </w:rPr>
                          <w:t>v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La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nd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100"/>
                            <w:sz w:val="15"/>
                          </w:rPr>
                          <w:t>Us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nd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3"/>
                            <w:w w:val="100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na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g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spacing w:val="1"/>
                            <w:w w:val="100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ent</w:t>
                        </w:r>
                        <w:r>
                          <w:rPr>
                            <w:rFonts w:ascii="Arial"/>
                            <w:i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P</w:t>
                        </w:r>
                        <w:r>
                          <w:rPr>
                            <w:rFonts w:ascii="Arial"/>
                            <w:i/>
                            <w:w w:val="100"/>
                            <w:sz w:val="15"/>
                          </w:rPr>
                          <w:t>ro</w:t>
                        </w:r>
                        <w:r>
                          <w:rPr>
                            <w:rFonts w:ascii="Arial"/>
                            <w:i/>
                            <w:spacing w:val="2"/>
                            <w:w w:val="100"/>
                            <w:sz w:val="15"/>
                          </w:rPr>
                          <w:t>gra</w:t>
                        </w:r>
                        <w:r>
                          <w:rPr>
                            <w:rFonts w:ascii="Arial"/>
                            <w:i/>
                            <w:spacing w:val="8"/>
                            <w:w w:val="100"/>
                            <w:sz w:val="15"/>
                          </w:rPr>
                          <w:t>m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spacing w:val="4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19</w:t>
                        </w:r>
                        <w:r>
                          <w:rPr>
                            <w:rFonts w:ascii="Arial"/>
                            <w:spacing w:val="3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w w:val="100"/>
                            <w:sz w:val="15"/>
                          </w:rPr>
                          <w:t>c</w:t>
                        </w:r>
                        <w:r>
                          <w:rPr>
                            <w:rFonts w:ascii="Arial"/>
                            <w:spacing w:val="3"/>
                            <w:w w:val="100"/>
                            <w:sz w:val="15"/>
                          </w:rPr>
                          <w:t>t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o</w:t>
                        </w:r>
                        <w:r>
                          <w:rPr>
                            <w:rFonts w:ascii="Arial"/>
                            <w:spacing w:val="2"/>
                            <w:w w:val="100"/>
                            <w:sz w:val="15"/>
                          </w:rPr>
                          <w:t>be</w:t>
                        </w:r>
                        <w:r>
                          <w:rPr>
                            <w:rFonts w:ascii="Arial"/>
                            <w:w w:val="100"/>
                            <w:sz w:val="15"/>
                          </w:rPr>
                          <w:t>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w w:val="99"/>
          <w:sz w:val="13"/>
        </w:rPr>
        <w:t>8</w:t>
      </w:r>
      <w:r>
        <w:rPr>
          <w:rFonts w:ascii="Arial"/>
          <w:sz w:val="13"/>
        </w:rPr>
      </w:r>
    </w:p>
    <w:p>
      <w:pPr>
        <w:spacing w:before="81"/>
        <w:ind w:left="140" w:right="235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w w:val="99"/>
          <w:sz w:val="13"/>
        </w:rPr>
        <w:t>9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11910" w:h="16840"/>
          <w:pgMar w:header="0" w:footer="652" w:top="1340" w:bottom="860" w:left="1300" w:right="1300"/>
        </w:sectPr>
      </w:pPr>
    </w:p>
    <w:p>
      <w:pPr>
        <w:pStyle w:val="BodyText"/>
        <w:spacing w:line="276" w:lineRule="auto" w:before="59"/>
        <w:ind w:right="113"/>
        <w:jc w:val="left"/>
      </w:pPr>
      <w:r>
        <w:rPr/>
        <w:t>Mining activities will aim to minimise disturbance, and provide for ongoing progressive</w:t>
      </w:r>
      <w:r>
        <w:rPr>
          <w:spacing w:val="-25"/>
        </w:rPr>
        <w:t> </w:t>
      </w:r>
      <w:r>
        <w:rPr/>
        <w:t>rehabilitation,</w:t>
      </w:r>
      <w:r>
        <w:rPr>
          <w:w w:val="99"/>
        </w:rPr>
        <w:t> </w:t>
      </w:r>
      <w:r>
        <w:rPr/>
        <w:t>directed at achieving an agreed final land use that is both stable and self-sustaining. Both</w:t>
      </w:r>
      <w:r>
        <w:rPr>
          <w:spacing w:val="-26"/>
        </w:rPr>
        <w:t> </w:t>
      </w:r>
      <w:r>
        <w:rPr/>
        <w:t>operational</w:t>
      </w:r>
      <w:r>
        <w:rPr>
          <w:w w:val="99"/>
        </w:rPr>
        <w:t> </w:t>
      </w:r>
      <w:r>
        <w:rPr/>
        <w:t>and non-operational land should further be managed responsibly considering adjacent and future</w:t>
      </w:r>
      <w:r>
        <w:rPr>
          <w:spacing w:val="-28"/>
        </w:rPr>
        <w:t> </w:t>
      </w:r>
      <w:r>
        <w:rPr/>
        <w:t>land</w:t>
      </w:r>
      <w:r>
        <w:rPr>
          <w:w w:val="99"/>
        </w:rPr>
        <w:t> </w:t>
      </w:r>
      <w:r>
        <w:rPr/>
        <w:t>uses.</w:t>
      </w:r>
    </w:p>
    <w:p>
      <w:pPr>
        <w:pStyle w:val="BodyText"/>
        <w:spacing w:line="276" w:lineRule="auto" w:before="123"/>
        <w:ind w:right="235"/>
        <w:jc w:val="left"/>
      </w:pPr>
      <w:r>
        <w:rPr/>
        <w:t>The post-mining land use should be considered at the mine design stage and defined through</w:t>
      </w:r>
      <w:r>
        <w:rPr>
          <w:spacing w:val="-21"/>
        </w:rPr>
        <w:t> </w:t>
      </w:r>
      <w:r>
        <w:rPr/>
        <w:t>an</w:t>
      </w:r>
      <w:r>
        <w:rPr>
          <w:w w:val="99"/>
        </w:rPr>
        <w:t> </w:t>
      </w:r>
      <w:r>
        <w:rPr/>
        <w:t>ongoing consultation process with regulators and relevant stakeholders.  Closure design should</w:t>
      </w:r>
      <w:r>
        <w:rPr>
          <w:spacing w:val="-26"/>
        </w:rPr>
        <w:t> </w:t>
      </w:r>
      <w:r>
        <w:rPr/>
        <w:t>aim</w:t>
      </w:r>
      <w:r>
        <w:rPr>
          <w:w w:val="99"/>
        </w:rPr>
        <w:t> </w:t>
      </w:r>
      <w:r>
        <w:rPr/>
        <w:t>to facilitate beneficial post-mining land use; this may include future economic activity, conservation</w:t>
      </w:r>
      <w:r>
        <w:rPr>
          <w:spacing w:val="-31"/>
        </w:rPr>
        <w:t> </w:t>
      </w:r>
      <w:r>
        <w:rPr/>
        <w:t>or</w:t>
      </w:r>
      <w:r>
        <w:rPr>
          <w:w w:val="99"/>
        </w:rPr>
        <w:t> </w:t>
      </w:r>
      <w:r>
        <w:rPr/>
        <w:t>social</w:t>
      </w:r>
      <w:r>
        <w:rPr>
          <w:spacing w:val="-4"/>
        </w:rPr>
        <w:t> </w:t>
      </w:r>
      <w:r>
        <w:rPr/>
        <w:t>use.</w:t>
      </w:r>
    </w:p>
    <w:p>
      <w:pPr>
        <w:pStyle w:val="Heading2"/>
        <w:spacing w:line="240" w:lineRule="auto" w:before="118"/>
        <w:ind w:right="235"/>
        <w:jc w:val="left"/>
        <w:rPr>
          <w:b w:val="0"/>
          <w:bCs w:val="0"/>
        </w:rPr>
      </w:pPr>
      <w:bookmarkStart w:name="_bookmark6" w:id="10"/>
      <w:bookmarkEnd w:id="10"/>
      <w:r>
        <w:rPr>
          <w:b w:val="0"/>
        </w:rPr>
      </w:r>
      <w:r>
        <w:rPr/>
        <w:t>Cumulative Impact Industry</w:t>
      </w:r>
      <w:r>
        <w:rPr>
          <w:spacing w:val="-10"/>
        </w:rPr>
        <w:t> </w:t>
      </w:r>
      <w:r>
        <w:rPr/>
        <w:t>Guide</w:t>
      </w:r>
      <w:r>
        <w:rPr>
          <w:b w:val="0"/>
        </w:rPr>
      </w:r>
    </w:p>
    <w:p>
      <w:pPr>
        <w:pStyle w:val="BodyText"/>
        <w:spacing w:line="276" w:lineRule="auto" w:before="159"/>
        <w:ind w:right="172"/>
        <w:jc w:val="left"/>
      </w:pPr>
      <w:r>
        <w:rPr/>
        <w:t>Cumulative impact assessment (CIA) is an approach to environmental impact assessment that</w:t>
      </w:r>
      <w:r>
        <w:rPr>
          <w:spacing w:val="6"/>
        </w:rPr>
        <w:t> </w:t>
      </w:r>
      <w:r>
        <w:rPr/>
        <w:t>aims</w:t>
      </w:r>
      <w:r>
        <w:rPr>
          <w:w w:val="99"/>
        </w:rPr>
        <w:t> </w:t>
      </w:r>
      <w:r>
        <w:rPr/>
        <w:t>to consider the effects of multiple actions or impacts on the environment. CIAs are conducted</w:t>
      </w:r>
      <w:r>
        <w:rPr>
          <w:spacing w:val="-26"/>
        </w:rPr>
        <w:t> </w:t>
      </w:r>
      <w:r>
        <w:rPr/>
        <w:t>across</w:t>
      </w:r>
      <w:r>
        <w:rPr>
          <w:w w:val="99"/>
        </w:rPr>
        <w:t> </w:t>
      </w:r>
      <w:r>
        <w:rPr/>
        <w:t>the actual and potential impacts of a number of activities or projects that may combine over</w:t>
      </w:r>
      <w:r>
        <w:rPr>
          <w:spacing w:val="-23"/>
        </w:rPr>
        <w:t> </w:t>
      </w:r>
      <w:r>
        <w:rPr/>
        <w:t>time</w:t>
      </w:r>
      <w:r>
        <w:rPr>
          <w:w w:val="99"/>
        </w:rPr>
        <w:t> </w:t>
      </w:r>
      <w:r>
        <w:rPr/>
        <w:t>and/or space with appropriate limitations by reference to the action being assessed and</w:t>
      </w:r>
      <w:r>
        <w:rPr>
          <w:spacing w:val="-11"/>
        </w:rPr>
        <w:t> </w:t>
      </w:r>
      <w:r>
        <w:rPr/>
        <w:t>its</w:t>
      </w:r>
      <w:r>
        <w:rPr>
          <w:w w:val="99"/>
        </w:rPr>
        <w:t> </w:t>
      </w:r>
      <w:r>
        <w:rPr/>
        <w:t>foreseeable impacts. In areas of multiple existing or proposed operations, the understanding of</w:t>
      </w:r>
      <w:r>
        <w:rPr>
          <w:spacing w:val="-24"/>
        </w:rPr>
        <w:t> </w:t>
      </w:r>
      <w:r>
        <w:rPr/>
        <w:t>the</w:t>
      </w:r>
      <w:r>
        <w:rPr>
          <w:w w:val="99"/>
        </w:rPr>
        <w:t> </w:t>
      </w:r>
      <w:r>
        <w:rPr/>
        <w:t>combined effects of activities on the environment is vital to delivering well-planned, well-managed</w:t>
      </w:r>
      <w:r>
        <w:rPr>
          <w:spacing w:val="-26"/>
        </w:rPr>
        <w:t> </w:t>
      </w:r>
      <w:r>
        <w:rPr/>
        <w:t>and</w:t>
      </w:r>
      <w:r>
        <w:rPr>
          <w:w w:val="99"/>
        </w:rPr>
        <w:t> </w:t>
      </w:r>
      <w:r>
        <w:rPr/>
        <w:t>sustainable development. The concept of cumulative environmental impact assessment is not</w:t>
      </w:r>
      <w:r>
        <w:rPr>
          <w:spacing w:val="-27"/>
        </w:rPr>
        <w:t> </w:t>
      </w:r>
      <w:r>
        <w:rPr/>
        <w:t>new;</w:t>
      </w:r>
      <w:r>
        <w:rPr>
          <w:w w:val="99"/>
        </w:rPr>
        <w:t> </w:t>
      </w:r>
      <w:r>
        <w:rPr/>
        <w:t>however, the requirements and expectations for project proponents to undertake cumulative</w:t>
      </w:r>
      <w:r>
        <w:rPr>
          <w:spacing w:val="-20"/>
        </w:rPr>
        <w:t> </w:t>
      </w:r>
      <w:r>
        <w:rPr/>
        <w:t>impact</w:t>
      </w:r>
      <w:r>
        <w:rPr>
          <w:w w:val="99"/>
        </w:rPr>
        <w:t> </w:t>
      </w:r>
      <w:r>
        <w:rPr/>
        <w:t>assessments continue to</w:t>
      </w:r>
      <w:r>
        <w:rPr>
          <w:spacing w:val="-12"/>
        </w:rPr>
        <w:t> </w:t>
      </w:r>
      <w:r>
        <w:rPr/>
        <w:t>evolve.</w:t>
      </w:r>
    </w:p>
    <w:p>
      <w:pPr>
        <w:pStyle w:val="BodyText"/>
        <w:spacing w:line="273" w:lineRule="auto" w:before="86"/>
        <w:ind w:right="113"/>
        <w:jc w:val="left"/>
      </w:pPr>
      <w:r>
        <w:rPr/>
        <w:t>Accordingly, the MCA, in July 2015, released an industry guide</w:t>
      </w:r>
      <w:r>
        <w:rPr>
          <w:position w:val="10"/>
          <w:sz w:val="13"/>
        </w:rPr>
        <w:t>10 </w:t>
      </w:r>
      <w:r>
        <w:rPr/>
        <w:t>to assist</w:t>
      </w:r>
      <w:r>
        <w:rPr>
          <w:spacing w:val="6"/>
        </w:rPr>
        <w:t> </w:t>
      </w:r>
      <w:r>
        <w:rPr/>
        <w:t>individual</w:t>
      </w:r>
      <w:r>
        <w:rPr>
          <w:w w:val="99"/>
        </w:rPr>
        <w:t> </w:t>
      </w:r>
      <w:r>
        <w:rPr/>
        <w:t>proponents/companies in conducting well-designed, leading practice cumulative environmental</w:t>
      </w:r>
      <w:r>
        <w:rPr>
          <w:spacing w:val="-24"/>
        </w:rPr>
        <w:t> </w:t>
      </w:r>
      <w:r>
        <w:rPr/>
        <w:t>impact</w:t>
      </w:r>
      <w:r>
        <w:rPr>
          <w:w w:val="99"/>
        </w:rPr>
        <w:t> </w:t>
      </w:r>
      <w:r>
        <w:rPr/>
        <w:t>assessments. The guide is intended primarily for mining industry environmental planners and</w:t>
      </w:r>
      <w:r>
        <w:rPr>
          <w:spacing w:val="-24"/>
        </w:rPr>
        <w:t> </w:t>
      </w:r>
      <w:r>
        <w:rPr/>
        <w:t>their</w:t>
      </w:r>
      <w:r>
        <w:rPr>
          <w:w w:val="99"/>
        </w:rPr>
        <w:t> </w:t>
      </w:r>
      <w:r>
        <w:rPr/>
        <w:t>consultants who are responsible for preparing environmental impact assessment</w:t>
      </w:r>
      <w:r>
        <w:rPr>
          <w:spacing w:val="-30"/>
        </w:rPr>
        <w:t> </w:t>
      </w:r>
      <w:r>
        <w:rPr/>
        <w:t>documentation.</w:t>
      </w:r>
    </w:p>
    <w:p>
      <w:pPr>
        <w:pStyle w:val="BodyText"/>
        <w:spacing w:line="240" w:lineRule="auto" w:before="122"/>
        <w:ind w:right="235"/>
        <w:jc w:val="left"/>
      </w:pPr>
      <w:r>
        <w:rPr/>
        <w:t>The key findings and recommendations in the guide</w:t>
      </w:r>
      <w:r>
        <w:rPr>
          <w:spacing w:val="-19"/>
        </w:rPr>
        <w:t> </w:t>
      </w:r>
      <w:r>
        <w:rPr/>
        <w:t>are: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152" w:after="0"/>
        <w:ind w:left="860" w:right="15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 assessment of cumulative impacts should not be an automatic requirement for all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spacing w:val="-28"/>
          <w:sz w:val="20"/>
        </w:rPr>
      </w:r>
      <w:r>
        <w:rPr>
          <w:rFonts w:ascii="Arial"/>
          <w:sz w:val="20"/>
        </w:rPr>
        <w:t>projects. 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Cumulative  impact  assessments  should  be  undertaken  only  where  there  is   </w:t>
      </w:r>
      <w:r>
        <w:rPr>
          <w:rFonts w:ascii="Arial"/>
          <w:spacing w:val="46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w w:val="99"/>
          <w:sz w:val="20"/>
        </w:rPr>
        <w:t> </w:t>
      </w:r>
      <w:r>
        <w:rPr>
          <w:rFonts w:ascii="Arial"/>
          <w:w w:val="99"/>
          <w:sz w:val="20"/>
        </w:rPr>
        <w:t>             </w:t>
      </w:r>
      <w:r>
        <w:rPr>
          <w:rFonts w:ascii="Arial"/>
          <w:sz w:val="20"/>
        </w:rPr>
        <w:t>likelihood of significant impacts on identified environmental values from more than one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sz w:val="20"/>
        </w:rPr>
        <w:t>activity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121" w:after="0"/>
        <w:ind w:left="860" w:right="427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no single approach to cumulative impact assessment can satisfy the unique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circumstances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faced by all projects. </w:t>
      </w:r>
      <w:r>
        <w:rPr>
          <w:rFonts w:ascii="Arial" w:hAnsi="Arial" w:cs="Arial" w:eastAsia="Arial"/>
          <w:sz w:val="20"/>
          <w:szCs w:val="20"/>
        </w:rPr>
        <w:t>Cumulative impact assessments should be ‘fit for purpose’ and</w:t>
      </w:r>
      <w:r>
        <w:rPr>
          <w:rFonts w:ascii="Arial" w:hAnsi="Arial" w:cs="Arial" w:eastAsia="Arial"/>
          <w:spacing w:val="-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avoid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overly prescriptive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processes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119" w:after="0"/>
        <w:ind w:left="860" w:right="172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cumulative impact assessments can and should be applied at different scales with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different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aims, methodologies and governance. The approach taken should be rigorous but adapted</w:t>
      </w:r>
      <w:r>
        <w:rPr>
          <w:rFonts w:ascii="Arial"/>
          <w:spacing w:val="-2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suit the specific circumstances faced. It should be risk-based and consider only those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factors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that are materially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affected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76" w:lineRule="auto" w:before="119" w:after="0"/>
        <w:ind w:left="860" w:right="362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data sharing requirements should be proportionate and material to the regulatory need,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commercial in confidence should be preserved. There is a role for governments to</w:t>
      </w:r>
      <w:r>
        <w:rPr>
          <w:rFonts w:ascii="Arial"/>
          <w:spacing w:val="-28"/>
          <w:sz w:val="20"/>
        </w:rPr>
        <w:t> </w:t>
      </w:r>
      <w:r>
        <w:rPr>
          <w:rFonts w:ascii="Arial"/>
          <w:sz w:val="20"/>
        </w:rPr>
        <w:t>facilitate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data access, including the disclosure of data where it is not commercially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sensitive</w:t>
      </w:r>
    </w:p>
    <w:p>
      <w:pPr>
        <w:pStyle w:val="ListParagraph"/>
        <w:numPr>
          <w:ilvl w:val="1"/>
          <w:numId w:val="2"/>
        </w:numPr>
        <w:tabs>
          <w:tab w:pos="861" w:val="left" w:leader="none"/>
        </w:tabs>
        <w:spacing w:line="240" w:lineRule="auto" w:before="119" w:after="0"/>
        <w:ind w:left="860" w:right="342" w:hanging="35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When accounting/forecasting the impacts of third party activities, proponents should only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required to consider impacts where sufficient information is publicly available to inform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assessment or to enable robust assumptions to be made. Only the following should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included in the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assessment:</w:t>
      </w:r>
    </w:p>
    <w:p>
      <w:pPr>
        <w:pStyle w:val="ListParagraph"/>
        <w:numPr>
          <w:ilvl w:val="2"/>
          <w:numId w:val="2"/>
        </w:numPr>
        <w:tabs>
          <w:tab w:pos="1281" w:val="left" w:leader="none"/>
        </w:tabs>
        <w:spacing w:line="240" w:lineRule="auto" w:before="0" w:after="0"/>
        <w:ind w:left="1280" w:right="600" w:hanging="35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certain projects (existing or confirmed) </w:t>
      </w:r>
      <w:r>
        <w:rPr>
          <w:rFonts w:ascii="Arial" w:hAnsi="Arial" w:cs="Arial" w:eastAsia="Arial"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these include those in operation, those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that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have commenced construction or have made a financial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announcement</w:t>
      </w:r>
    </w:p>
    <w:p>
      <w:pPr>
        <w:pStyle w:val="ListParagraph"/>
        <w:numPr>
          <w:ilvl w:val="2"/>
          <w:numId w:val="2"/>
        </w:numPr>
        <w:tabs>
          <w:tab w:pos="1281" w:val="left" w:leader="none"/>
        </w:tabs>
        <w:spacing w:line="240" w:lineRule="auto" w:before="0" w:after="0"/>
        <w:ind w:left="1280" w:right="332" w:hanging="35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reasonably foreseeable projects </w:t>
      </w:r>
      <w:r>
        <w:rPr>
          <w:rFonts w:ascii="Arial" w:hAnsi="Arial" w:cs="Arial" w:eastAsia="Arial"/>
          <w:sz w:val="20"/>
          <w:szCs w:val="20"/>
        </w:rPr>
        <w:t>– </w:t>
      </w:r>
      <w:r>
        <w:rPr>
          <w:rFonts w:ascii="Arial" w:hAnsi="Arial" w:cs="Arial" w:eastAsia="Arial"/>
          <w:sz w:val="20"/>
          <w:szCs w:val="20"/>
        </w:rPr>
        <w:t>these include those projects where financial</w:t>
      </w:r>
      <w:r>
        <w:rPr>
          <w:rFonts w:ascii="Arial" w:hAnsi="Arial" w:cs="Arial" w:eastAsia="Arial"/>
          <w:spacing w:val="-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forecast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are positive and which have been approved and commencement announced or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are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under assessment and full documentation is</w:t>
      </w:r>
      <w:r>
        <w:rPr>
          <w:rFonts w:ascii="Arial" w:hAnsi="Arial" w:cs="Arial" w:eastAsia="Arial"/>
          <w:spacing w:val="-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available.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8" w:lineRule="auto"/>
        <w:ind w:left="560" w:right="235"/>
        <w:jc w:val="left"/>
      </w:pPr>
      <w:r>
        <w:rPr/>
        <w:t>Speculative projects should not be included. This includes projects which have been</w:t>
      </w:r>
      <w:r>
        <w:rPr>
          <w:spacing w:val="-26"/>
        </w:rPr>
        <w:t> </w:t>
      </w:r>
      <w:r>
        <w:rPr/>
        <w:t>referred</w:t>
      </w:r>
      <w:r>
        <w:rPr>
          <w:w w:val="99"/>
        </w:rPr>
        <w:t> </w:t>
      </w:r>
      <w:r>
        <w:rPr/>
        <w:t>and/or announced but are not under</w:t>
      </w:r>
      <w:r>
        <w:rPr>
          <w:spacing w:val="-13"/>
        </w:rPr>
        <w:t> </w:t>
      </w:r>
      <w:r>
        <w:rPr/>
        <w:t>assessment.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8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position w:val="8"/>
          <w:sz w:val="10"/>
          <w:szCs w:val="10"/>
        </w:rPr>
        <w:t>10 </w:t>
      </w:r>
      <w:r>
        <w:rPr>
          <w:rFonts w:ascii="Arial" w:hAnsi="Arial" w:cs="Arial" w:eastAsia="Arial"/>
          <w:sz w:val="16"/>
          <w:szCs w:val="16"/>
        </w:rPr>
        <w:t>Minerals Council of Australia, </w:t>
      </w:r>
      <w:r>
        <w:rPr>
          <w:rFonts w:ascii="Arial" w:hAnsi="Arial" w:cs="Arial" w:eastAsia="Arial"/>
          <w:i/>
          <w:color w:val="0000FF"/>
          <w:sz w:val="16"/>
          <w:szCs w:val="16"/>
        </w:rPr>
      </w:r>
      <w:hyperlink r:id="rId17">
        <w:r>
          <w:rPr>
            <w:rFonts w:ascii="Arial" w:hAnsi="Arial" w:cs="Arial" w:eastAsia="Arial"/>
            <w:i/>
            <w:color w:val="0000FF"/>
            <w:sz w:val="16"/>
            <w:szCs w:val="16"/>
            <w:u w:val="single" w:color="0000FF"/>
          </w:rPr>
          <w:t>Cumulative Environmental Impact Assessment </w:t>
        </w:r>
        <w:r>
          <w:rPr>
            <w:rFonts w:ascii="Arial" w:hAnsi="Arial" w:cs="Arial" w:eastAsia="Arial"/>
            <w:i/>
            <w:color w:val="0000FF"/>
            <w:sz w:val="16"/>
            <w:szCs w:val="16"/>
            <w:u w:val="single" w:color="0000FF"/>
          </w:rPr>
          <w:t>– </w:t>
        </w:r>
        <w:r>
          <w:rPr>
            <w:rFonts w:ascii="Arial" w:hAnsi="Arial" w:cs="Arial" w:eastAsia="Arial"/>
            <w:i/>
            <w:color w:val="0000FF"/>
            <w:sz w:val="16"/>
            <w:szCs w:val="16"/>
            <w:u w:val="single" w:color="0000FF"/>
          </w:rPr>
          <w:t>Industry Guide</w:t>
        </w:r>
        <w:r>
          <w:rPr>
            <w:rFonts w:ascii="Arial" w:hAnsi="Arial" w:cs="Arial" w:eastAsia="Arial"/>
            <w:i/>
            <w:color w:val="0000FF"/>
            <w:spacing w:val="-9"/>
            <w:sz w:val="16"/>
            <w:szCs w:val="16"/>
            <w:u w:val="single" w:color="0000FF"/>
          </w:rPr>
          <w:t> </w:t>
        </w:r>
        <w:r>
          <w:rPr>
            <w:rFonts w:ascii="Arial" w:hAnsi="Arial" w:cs="Arial" w:eastAsia="Arial"/>
            <w:i/>
            <w:color w:val="0000FF"/>
            <w:spacing w:val="-9"/>
            <w:sz w:val="16"/>
            <w:szCs w:val="16"/>
          </w:rPr>
        </w:r>
        <w:r>
          <w:rPr>
            <w:rFonts w:ascii="Arial" w:hAnsi="Arial" w:cs="Arial" w:eastAsia="Arial"/>
            <w:spacing w:val="-9"/>
            <w:sz w:val="16"/>
            <w:szCs w:val="16"/>
          </w:rPr>
        </w:r>
        <w:r>
          <w:rPr>
            <w:rFonts w:ascii="Arial" w:hAnsi="Arial" w:cs="Arial" w:eastAsia="Arial"/>
            <w:spacing w:val="-9"/>
            <w:sz w:val="16"/>
            <w:szCs w:val="16"/>
            <w:shd w:fill="F8F8F8" w:color="auto" w:val="clear"/>
          </w:rPr>
        </w:r>
      </w:hyperlink>
      <w:r>
        <w:rPr>
          <w:rFonts w:ascii="Arial" w:hAnsi="Arial" w:cs="Arial" w:eastAsia="Arial"/>
          <w:sz w:val="16"/>
          <w:szCs w:val="16"/>
          <w:shd w:fill="F8F8F8" w:color="auto" w:val="clear"/>
        </w:rPr>
        <w:t>2015.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52" w:top="1340" w:bottom="860" w:left="1300" w:right="1300"/>
        </w:sectPr>
      </w:pPr>
    </w:p>
    <w:p>
      <w:pPr>
        <w:pStyle w:val="Heading1"/>
        <w:numPr>
          <w:ilvl w:val="0"/>
          <w:numId w:val="2"/>
        </w:numPr>
        <w:tabs>
          <w:tab w:pos="573" w:val="left" w:leader="none"/>
        </w:tabs>
        <w:spacing w:line="240" w:lineRule="auto" w:before="58" w:after="0"/>
        <w:ind w:left="572" w:right="235" w:hanging="432"/>
        <w:jc w:val="left"/>
        <w:rPr>
          <w:b w:val="0"/>
          <w:bCs w:val="0"/>
        </w:rPr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/>
        <w:t>POLICY</w:t>
      </w:r>
      <w:r>
        <w:rPr/>
        <w:t> AND REGULATORY ISSUES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5"/>
          <w:szCs w:val="5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75pt;height:.5pt;mso-position-horizontal-relative:char;mso-position-vertical-relative:line" coordorigin="0,0" coordsize="9095,10">
            <v:group style="position:absolute;left:5;top:5;width:9086;height:2" coordorigin="5,5" coordsize="9086,2">
              <v:shape style="position:absolute;left:5;top:5;width:9086;height:2" coordorigin="5,5" coordsize="9086,0" path="m5,5l9090,5e" filled="false" stroked="true" strokeweight=".4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spacing w:line="276" w:lineRule="auto" w:before="74"/>
        <w:ind w:right="480"/>
        <w:jc w:val="left"/>
      </w:pPr>
      <w:r>
        <w:rPr/>
        <w:t>Mining operations, regardless of size are complex, dynamic, technically advanced and</w:t>
      </w:r>
      <w:r>
        <w:rPr>
          <w:spacing w:val="-18"/>
        </w:rPr>
        <w:t> </w:t>
      </w:r>
      <w:r>
        <w:rPr/>
        <w:t>must</w:t>
      </w:r>
      <w:r>
        <w:rPr>
          <w:w w:val="99"/>
        </w:rPr>
        <w:t> </w:t>
      </w:r>
      <w:r>
        <w:rPr/>
        <w:t>continually respond to market and regulatory conditions. Policy and regulatory settings</w:t>
      </w:r>
      <w:r>
        <w:rPr>
          <w:spacing w:val="-18"/>
        </w:rPr>
        <w:t> </w:t>
      </w:r>
      <w:r>
        <w:rPr/>
        <w:t>must</w:t>
      </w:r>
      <w:r>
        <w:rPr>
          <w:w w:val="99"/>
        </w:rPr>
        <w:t> </w:t>
      </w:r>
      <w:r>
        <w:rPr/>
        <w:t>therefore be cognisant of this and allow for flexibility in achieving regulatory</w:t>
      </w:r>
      <w:r>
        <w:rPr>
          <w:spacing w:val="-21"/>
        </w:rPr>
        <w:t> </w:t>
      </w:r>
      <w:r>
        <w:rPr/>
        <w:t>objectives.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235"/>
        <w:jc w:val="left"/>
        <w:rPr>
          <w:b w:val="0"/>
          <w:bCs w:val="0"/>
        </w:rPr>
      </w:pPr>
      <w:bookmarkStart w:name="_bookmark8" w:id="13"/>
      <w:bookmarkEnd w:id="13"/>
      <w:r>
        <w:rPr>
          <w:b w:val="0"/>
        </w:rPr>
      </w:r>
      <w:r>
        <w:rPr/>
        <w:t>Risk</w:t>
      </w:r>
      <w:r>
        <w:rPr>
          <w:spacing w:val="-4"/>
        </w:rPr>
        <w:t> </w:t>
      </w:r>
      <w:r>
        <w:rPr/>
        <w:t>Management</w:t>
      </w:r>
      <w:r>
        <w:rPr>
          <w:b w:val="0"/>
        </w:rPr>
      </w:r>
    </w:p>
    <w:p>
      <w:pPr>
        <w:pStyle w:val="BodyText"/>
        <w:spacing w:line="276" w:lineRule="auto" w:before="156"/>
        <w:ind w:right="235"/>
        <w:jc w:val="left"/>
      </w:pPr>
      <w:r>
        <w:rPr/>
        <w:t>The Board of Inquiry into the Hazelwood Mine Fire (2014) received numerous</w:t>
      </w:r>
      <w:r>
        <w:rPr>
          <w:spacing w:val="-12"/>
        </w:rPr>
        <w:t> </w:t>
      </w:r>
      <w:r>
        <w:rPr/>
        <w:t>submissions</w:t>
      </w:r>
      <w:r>
        <w:rPr>
          <w:w w:val="99"/>
        </w:rPr>
        <w:t> </w:t>
      </w:r>
      <w:r>
        <w:rPr/>
        <w:t>specifically focusing on mine management. The b</w:t>
      </w:r>
      <w:r>
        <w:rPr>
          <w:rFonts w:ascii="Arial" w:hAnsi="Arial" w:cs="Arial" w:eastAsia="Arial"/>
        </w:rPr>
        <w:t>oard’s report to the former </w:t>
      </w:r>
      <w:r>
        <w:rPr/>
        <w:t>government</w:t>
      </w:r>
      <w:r>
        <w:rPr>
          <w:spacing w:val="-20"/>
        </w:rPr>
        <w:t> </w:t>
      </w:r>
      <w:r>
        <w:rPr/>
        <w:t>therefore</w:t>
      </w:r>
      <w:r>
        <w:rPr>
          <w:w w:val="99"/>
        </w:rPr>
        <w:t> </w:t>
      </w:r>
      <w:r>
        <w:rPr/>
        <w:t>made a number of observations and recommendations regarding the policy and</w:t>
      </w:r>
      <w:r>
        <w:rPr>
          <w:spacing w:val="-4"/>
        </w:rPr>
        <w:t> </w:t>
      </w:r>
      <w:r>
        <w:rPr/>
        <w:t>regulatory</w:t>
      </w:r>
      <w:r>
        <w:rPr>
          <w:w w:val="99"/>
        </w:rPr>
        <w:t> </w:t>
      </w:r>
      <w:r>
        <w:rPr/>
        <w:t>environment governing both operating and non-operational mining</w:t>
      </w:r>
      <w:r>
        <w:rPr>
          <w:spacing w:val="-19"/>
        </w:rPr>
        <w:t> </w:t>
      </w:r>
      <w:r>
        <w:rPr/>
        <w:t>land.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3" w:lineRule="auto"/>
        <w:ind w:right="235"/>
        <w:jc w:val="left"/>
      </w:pPr>
      <w:r>
        <w:rPr/>
        <w:t>The first Victorian Government submission to the Inquiry described the range of</w:t>
      </w:r>
      <w:r>
        <w:rPr>
          <w:spacing w:val="-10"/>
        </w:rPr>
        <w:t> </w:t>
      </w:r>
      <w:r>
        <w:rPr/>
        <w:t>regulatory</w:t>
      </w:r>
      <w:r>
        <w:rPr>
          <w:w w:val="99"/>
        </w:rPr>
        <w:t> </w:t>
      </w:r>
      <w:r>
        <w:rPr/>
        <w:t>instruments applying to mines in Victoria and comprehensively articulated the approvals process</w:t>
      </w:r>
      <w:r>
        <w:rPr>
          <w:spacing w:val="-23"/>
        </w:rPr>
        <w:t> </w:t>
      </w:r>
      <w:r>
        <w:rPr/>
        <w:t>and</w:t>
      </w:r>
      <w:r>
        <w:rPr>
          <w:w w:val="99"/>
        </w:rPr>
        <w:t> </w:t>
      </w:r>
      <w:r>
        <w:rPr/>
        <w:t>compliance regime, therefore this submission does not seek to restate this.  One area to</w:t>
      </w:r>
      <w:r>
        <w:rPr>
          <w:spacing w:val="-18"/>
        </w:rPr>
        <w:t> </w:t>
      </w:r>
      <w:r>
        <w:rPr/>
        <w:t>note</w:t>
      </w:r>
      <w:r>
        <w:rPr>
          <w:w w:val="99"/>
        </w:rPr>
        <w:t> </w:t>
      </w:r>
      <w:r>
        <w:rPr/>
        <w:t>however is the urgent need for the </w:t>
      </w:r>
      <w:r>
        <w:rPr>
          <w:rFonts w:ascii="Arial"/>
          <w:i/>
        </w:rPr>
        <w:t>Mineral Resources (Sustainable Development) Act 1990</w:t>
      </w:r>
      <w:r>
        <w:rPr>
          <w:rFonts w:ascii="Arial"/>
          <w:i/>
          <w:spacing w:val="-28"/>
        </w:rPr>
        <w:t> </w:t>
      </w:r>
      <w:r>
        <w:rPr/>
        <w:t>(MR(SD)</w:t>
      </w:r>
    </w:p>
    <w:p>
      <w:pPr>
        <w:pStyle w:val="BodyText"/>
        <w:spacing w:line="276" w:lineRule="auto" w:before="8"/>
        <w:ind w:right="235"/>
        <w:jc w:val="left"/>
      </w:pPr>
      <w:r>
        <w:rPr/>
        <w:t>A) to move to a risk based regulatory framework. The minerals industry has long advocated for</w:t>
      </w:r>
      <w:r>
        <w:rPr>
          <w:spacing w:val="-30"/>
        </w:rPr>
        <w:t> </w:t>
      </w:r>
      <w:r>
        <w:rPr/>
        <w:t>this</w:t>
      </w:r>
      <w:r>
        <w:rPr>
          <w:w w:val="99"/>
        </w:rPr>
        <w:t> </w:t>
      </w:r>
      <w:r>
        <w:rPr/>
        <w:t>approach as well as closer alignment between the regulatory approaches of the earth</w:t>
      </w:r>
      <w:r>
        <w:rPr>
          <w:spacing w:val="-15"/>
        </w:rPr>
        <w:t> </w:t>
      </w:r>
      <w:r>
        <w:rPr/>
        <w:t>resources</w:t>
      </w:r>
      <w:r>
        <w:rPr>
          <w:w w:val="99"/>
        </w:rPr>
        <w:t> </w:t>
      </w:r>
      <w:r>
        <w:rPr/>
        <w:t>regulator and Worksafe</w:t>
      </w:r>
      <w:r>
        <w:rPr>
          <w:spacing w:val="-8"/>
        </w:rPr>
        <w:t> </w:t>
      </w:r>
      <w:r>
        <w:rPr/>
        <w:t>Victoria.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3" w:lineRule="auto"/>
        <w:ind w:right="285"/>
        <w:jc w:val="left"/>
        <w:rPr>
          <w:rFonts w:ascii="Calibri" w:hAnsi="Calibri" w:cs="Calibri" w:eastAsia="Calibri"/>
          <w:sz w:val="12"/>
          <w:szCs w:val="12"/>
        </w:rPr>
      </w:pPr>
      <w:r>
        <w:rPr/>
        <w:t>Regulatory reform is a frustratingly slow process and is often undertaken in a piecemeal fashion</w:t>
      </w:r>
      <w:r>
        <w:rPr>
          <w:spacing w:val="-33"/>
        </w:rPr>
        <w:t> </w:t>
      </w:r>
      <w:r>
        <w:rPr/>
        <w:t>with</w:t>
      </w:r>
      <w:r>
        <w:rPr>
          <w:w w:val="99"/>
        </w:rPr>
        <w:t> </w:t>
      </w:r>
      <w:r>
        <w:rPr/>
        <w:t>amendments to discrete sections of Acts and regulations and numerous administrative and</w:t>
      </w:r>
      <w:r>
        <w:rPr>
          <w:spacing w:val="-23"/>
        </w:rPr>
        <w:t> </w:t>
      </w:r>
      <w:r>
        <w:rPr/>
        <w:t>technical</w:t>
      </w:r>
      <w:r>
        <w:rPr>
          <w:w w:val="99"/>
        </w:rPr>
        <w:t> </w:t>
      </w:r>
      <w:r>
        <w:rPr/>
        <w:t>tweaking. A review undertaken by KPMG for the MCA in 2011 identified that the MR(SD)A</w:t>
      </w:r>
      <w:r>
        <w:rPr>
          <w:spacing w:val="-19"/>
        </w:rPr>
        <w:t> </w:t>
      </w:r>
      <w:r>
        <w:rPr/>
        <w:t>was</w:t>
      </w:r>
      <w:r>
        <w:rPr>
          <w:w w:val="99"/>
        </w:rPr>
        <w:t> </w:t>
      </w:r>
      <w:r>
        <w:rPr/>
        <w:t>amended 27 times between 2004 and 2011 (Figure 6). Over that time, the volume of</w:t>
      </w:r>
      <w:r>
        <w:rPr>
          <w:spacing w:val="-15"/>
        </w:rPr>
        <w:t> </w:t>
      </w:r>
      <w:r>
        <w:rPr/>
        <w:t>pages</w:t>
      </w:r>
      <w:r>
        <w:rPr>
          <w:w w:val="99"/>
        </w:rPr>
        <w:t> </w:t>
      </w:r>
      <w:r>
        <w:rPr/>
        <w:t>increased by 49 percent from 192 to 286 pages. The incorporation of matters relating to</w:t>
      </w:r>
      <w:r>
        <w:rPr>
          <w:spacing w:val="-19"/>
        </w:rPr>
        <w:t> </w:t>
      </w:r>
      <w:r>
        <w:rPr/>
        <w:t>extractive</w:t>
      </w:r>
      <w:r>
        <w:rPr>
          <w:w w:val="99"/>
        </w:rPr>
        <w:t> </w:t>
      </w:r>
      <w:r>
        <w:rPr/>
        <w:t>industries in 2010 (see below) added approximately 35 pages to the Act. Other Acts regulating</w:t>
      </w:r>
      <w:r>
        <w:rPr>
          <w:spacing w:val="-28"/>
        </w:rPr>
        <w:t> </w:t>
      </w:r>
      <w:r>
        <w:rPr/>
        <w:t>the</w:t>
      </w:r>
      <w:r>
        <w:rPr>
          <w:w w:val="99"/>
        </w:rPr>
        <w:t> </w:t>
      </w:r>
      <w:r>
        <w:rPr/>
        <w:t>minerals industry also went through numerous</w:t>
      </w:r>
      <w:r>
        <w:rPr>
          <w:spacing w:val="-11"/>
        </w:rPr>
        <w:t> </w:t>
      </w:r>
      <w:r>
        <w:rPr/>
        <w:t>amendments</w:t>
      </w:r>
      <w:r>
        <w:rPr>
          <w:rFonts w:ascii="Calibri"/>
          <w:sz w:val="18"/>
        </w:rPr>
        <w:t>.</w:t>
      </w:r>
      <w:r>
        <w:rPr>
          <w:rFonts w:ascii="Calibri"/>
          <w:position w:val="9"/>
          <w:sz w:val="12"/>
        </w:rPr>
        <w:t>11</w:t>
      </w:r>
      <w:r>
        <w:rPr>
          <w:rFonts w:ascii="Calibri"/>
          <w:sz w:val="12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spacing w:line="4513" w:lineRule="exact"/>
        <w:ind w:left="14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89"/>
          <w:sz w:val="20"/>
          <w:szCs w:val="20"/>
        </w:rPr>
        <w:drawing>
          <wp:inline distT="0" distB="0" distL="0" distR="0">
            <wp:extent cx="5723971" cy="2866072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971" cy="286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89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76" w:lineRule="auto"/>
        <w:ind w:right="235"/>
        <w:jc w:val="left"/>
      </w:pPr>
      <w:r>
        <w:rPr/>
        <w:t>In the 4 years since this report was produced, there have been at least annual</w:t>
      </w:r>
      <w:r>
        <w:rPr>
          <w:spacing w:val="-23"/>
        </w:rPr>
        <w:t> </w:t>
      </w:r>
      <w:r>
        <w:rPr/>
        <w:t>amendments</w:t>
      </w:r>
      <w:r>
        <w:rPr>
          <w:w w:val="99"/>
        </w:rPr>
        <w:t> </w:t>
      </w:r>
      <w:r>
        <w:rPr/>
        <w:t>progressing through</w:t>
      </w:r>
      <w:r>
        <w:rPr>
          <w:spacing w:val="-5"/>
        </w:rPr>
        <w:t> </w:t>
      </w:r>
      <w:r>
        <w:rPr/>
        <w:t>Parliament.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0"/>
          <w:szCs w:val="10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39" w:after="0"/>
        <w:ind w:left="339" w:right="235" w:hanging="19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sz w:val="16"/>
          <w:szCs w:val="16"/>
        </w:rPr>
        <w:t>KPMG</w:t>
      </w:r>
      <w:r>
        <w:rPr>
          <w:rFonts w:ascii="Arial" w:hAnsi="Arial" w:cs="Arial" w:eastAsia="Arial"/>
          <w:i/>
          <w:sz w:val="16"/>
          <w:szCs w:val="16"/>
        </w:rPr>
        <w:t>, </w:t>
      </w:r>
      <w:r>
        <w:rPr>
          <w:rFonts w:ascii="Arial" w:hAnsi="Arial" w:cs="Arial" w:eastAsia="Arial"/>
          <w:i/>
          <w:sz w:val="16"/>
          <w:szCs w:val="16"/>
        </w:rPr>
        <w:t>A review of regulatory change affecting Victoria’s mining sector</w:t>
      </w:r>
      <w:r>
        <w:rPr>
          <w:rFonts w:ascii="Arial" w:hAnsi="Arial" w:cs="Arial" w:eastAsia="Arial"/>
          <w:sz w:val="16"/>
          <w:szCs w:val="16"/>
        </w:rPr>
        <w:t>,</w:t>
      </w:r>
      <w:r>
        <w:rPr>
          <w:rFonts w:ascii="Arial" w:hAnsi="Arial" w:cs="Arial" w:eastAsia="Arial"/>
          <w:spacing w:val="3"/>
          <w:sz w:val="16"/>
          <w:szCs w:val="16"/>
        </w:rPr>
        <w:t> </w:t>
      </w:r>
      <w:r>
        <w:rPr>
          <w:rFonts w:ascii="Arial" w:hAnsi="Arial" w:cs="Arial" w:eastAsia="Arial"/>
          <w:sz w:val="16"/>
          <w:szCs w:val="16"/>
        </w:rPr>
        <w:t>2011.</w:t>
      </w:r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52" w:top="1340" w:bottom="860" w:left="1300" w:right="1300"/>
        </w:sectPr>
      </w:pPr>
    </w:p>
    <w:p>
      <w:pPr>
        <w:pStyle w:val="BodyText"/>
        <w:spacing w:line="276" w:lineRule="auto" w:before="59"/>
        <w:ind w:right="235"/>
        <w:jc w:val="left"/>
      </w:pPr>
      <w:r>
        <w:rPr/>
        <w:t>This continued piecemeal reform only serves to confuse both the regulator and the industries</w:t>
      </w:r>
      <w:r>
        <w:rPr>
          <w:spacing w:val="-26"/>
        </w:rPr>
        <w:t> </w:t>
      </w:r>
      <w:r>
        <w:rPr/>
        <w:t>being</w:t>
      </w:r>
      <w:r>
        <w:rPr>
          <w:w w:val="99"/>
        </w:rPr>
        <w:t> </w:t>
      </w:r>
      <w:r>
        <w:rPr/>
        <w:t>regulated. Furthermore there are often policy and regulatory inconsistencies either within the one</w:t>
      </w:r>
      <w:r>
        <w:rPr>
          <w:spacing w:val="-23"/>
        </w:rPr>
        <w:t> </w:t>
      </w:r>
      <w:r>
        <w:rPr/>
        <w:t>Act</w:t>
      </w:r>
      <w:r>
        <w:rPr>
          <w:w w:val="99"/>
        </w:rPr>
        <w:t> </w:t>
      </w:r>
      <w:r>
        <w:rPr/>
        <w:t>or between related Acts.  An issue also identified in the Board of Inquiry 2014</w:t>
      </w:r>
      <w:r>
        <w:rPr>
          <w:spacing w:val="-24"/>
        </w:rPr>
        <w:t> </w:t>
      </w:r>
      <w:r>
        <w:rPr/>
        <w:t>report.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"/>
        <w:jc w:val="left"/>
      </w:pPr>
      <w:r>
        <w:rPr/>
        <w:t>The second and third government submissions identify areas for improvements to the</w:t>
      </w:r>
      <w:r>
        <w:rPr>
          <w:spacing w:val="-16"/>
        </w:rPr>
        <w:t> </w:t>
      </w:r>
      <w:r>
        <w:rPr/>
        <w:t>regulatory</w:t>
      </w:r>
      <w:r>
        <w:rPr>
          <w:w w:val="99"/>
        </w:rPr>
        <w:t> </w:t>
      </w:r>
      <w:r>
        <w:rPr/>
        <w:t>regime governing mineral operations. The submissions confirm that primary obligation to manage</w:t>
      </w:r>
      <w:r>
        <w:rPr>
          <w:spacing w:val="-25"/>
        </w:rPr>
        <w:t> </w:t>
      </w:r>
      <w:r>
        <w:rPr/>
        <w:t>risk</w:t>
      </w:r>
      <w:r>
        <w:rPr>
          <w:w w:val="99"/>
        </w:rPr>
        <w:t> </w:t>
      </w:r>
      <w:r>
        <w:rPr/>
        <w:t>at a site rests with the duty</w:t>
      </w:r>
      <w:r>
        <w:rPr>
          <w:spacing w:val="-11"/>
        </w:rPr>
        <w:t> </w:t>
      </w:r>
      <w:r>
        <w:rPr/>
        <w:t>holder.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61" w:lineRule="auto" w:before="0"/>
        <w:ind w:left="140" w:right="11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One statement stands out - </w:t>
      </w:r>
      <w:r>
        <w:rPr>
          <w:rFonts w:ascii="Arial" w:hAnsi="Arial" w:cs="Arial" w:eastAsia="Arial"/>
          <w:i/>
          <w:sz w:val="20"/>
          <w:szCs w:val="20"/>
        </w:rPr>
        <w:t>“Managing risks, their likelihood and impact is a dynamic process.</w:t>
      </w:r>
      <w:r>
        <w:rPr>
          <w:rFonts w:ascii="Arial" w:hAnsi="Arial" w:cs="Arial" w:eastAsia="Arial"/>
          <w:i/>
          <w:spacing w:val="40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Risk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cannot be eliminated.”</w:t>
      </w:r>
      <w:r>
        <w:rPr>
          <w:rFonts w:ascii="Arial" w:hAnsi="Arial" w:cs="Arial" w:eastAsia="Arial"/>
          <w:position w:val="10"/>
          <w:sz w:val="13"/>
          <w:szCs w:val="13"/>
        </w:rPr>
        <w:t>12 </w:t>
      </w:r>
      <w:r>
        <w:rPr>
          <w:rFonts w:ascii="Arial" w:hAnsi="Arial" w:cs="Arial" w:eastAsia="Arial"/>
          <w:sz w:val="20"/>
          <w:szCs w:val="20"/>
        </w:rPr>
        <w:t>This is often misunderstood by legislative drafters and communities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legislation can often seek to prescribe a specific way to manage risk as though all risks are equal</w:t>
      </w:r>
      <w:r>
        <w:rPr>
          <w:rFonts w:ascii="Arial" w:hAnsi="Arial" w:cs="Arial" w:eastAsia="Arial"/>
          <w:spacing w:val="-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manifest themselves identically in all</w:t>
      </w:r>
      <w:r>
        <w:rPr>
          <w:rFonts w:ascii="Arial" w:hAnsi="Arial" w:cs="Arial" w:eastAsia="Arial"/>
          <w:spacing w:val="-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circumstances.</w:t>
      </w: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spacing w:line="264" w:lineRule="auto" w:before="0"/>
        <w:ind w:left="140" w:right="113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Furthermore the submission acknowledges: </w:t>
      </w:r>
      <w:r>
        <w:rPr>
          <w:rFonts w:ascii="Arial" w:hAnsi="Arial" w:cs="Arial" w:eastAsia="Arial"/>
          <w:i/>
          <w:sz w:val="20"/>
          <w:szCs w:val="20"/>
        </w:rPr>
        <w:t>‘</w:t>
      </w:r>
      <w:r>
        <w:rPr>
          <w:rFonts w:ascii="Arial" w:hAnsi="Arial" w:cs="Arial" w:eastAsia="Arial"/>
          <w:i/>
          <w:sz w:val="20"/>
          <w:szCs w:val="20"/>
        </w:rPr>
        <w:t>There is a potential risk that </w:t>
      </w:r>
      <w:r>
        <w:rPr>
          <w:rFonts w:ascii="Arial" w:hAnsi="Arial" w:cs="Arial" w:eastAsia="Arial"/>
          <w:i/>
          <w:sz w:val="20"/>
          <w:szCs w:val="20"/>
        </w:rPr>
        <w:t>“</w:t>
      </w:r>
      <w:r>
        <w:rPr>
          <w:rFonts w:ascii="Arial" w:hAnsi="Arial" w:cs="Arial" w:eastAsia="Arial"/>
          <w:i/>
          <w:sz w:val="20"/>
          <w:szCs w:val="20"/>
        </w:rPr>
        <w:t>when a crisis occurs,</w:t>
      </w:r>
      <w:r>
        <w:rPr>
          <w:rFonts w:ascii="Arial" w:hAnsi="Arial" w:cs="Arial" w:eastAsia="Arial"/>
          <w:i/>
          <w:spacing w:val="-1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the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response can revert too quickly to norms of increased enforcement and traditional</w:t>
      </w:r>
      <w:r>
        <w:rPr>
          <w:rFonts w:ascii="Arial" w:hAnsi="Arial" w:cs="Arial" w:eastAsia="Arial"/>
          <w:i/>
          <w:spacing w:val="-1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prescriptive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approaches, because the risk exposure for regulators is perceived to have become unacceptably</w:t>
      </w:r>
      <w:r>
        <w:rPr>
          <w:rFonts w:ascii="Arial" w:hAnsi="Arial" w:cs="Arial" w:eastAsia="Arial"/>
          <w:i/>
          <w:spacing w:val="-3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high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and consequently that risk-based regulation has failed</w:t>
      </w:r>
      <w:r>
        <w:rPr>
          <w:rFonts w:ascii="Arial" w:hAnsi="Arial" w:cs="Arial" w:eastAsia="Arial"/>
          <w:i/>
          <w:sz w:val="20"/>
          <w:szCs w:val="20"/>
        </w:rPr>
        <w:t>”’</w:t>
      </w:r>
      <w:r>
        <w:rPr>
          <w:rFonts w:ascii="Arial" w:hAnsi="Arial" w:cs="Arial" w:eastAsia="Arial"/>
          <w:i/>
          <w:sz w:val="20"/>
          <w:szCs w:val="20"/>
        </w:rPr>
        <w:t>.</w:t>
      </w:r>
      <w:r>
        <w:rPr>
          <w:rFonts w:ascii="Arial" w:hAnsi="Arial" w:cs="Arial" w:eastAsia="Arial"/>
          <w:i/>
          <w:position w:val="10"/>
          <w:sz w:val="13"/>
          <w:szCs w:val="13"/>
        </w:rPr>
        <w:t>13 </w:t>
      </w:r>
      <w:r>
        <w:rPr>
          <w:rFonts w:ascii="Arial" w:hAnsi="Arial" w:cs="Arial" w:eastAsia="Arial"/>
          <w:sz w:val="20"/>
          <w:szCs w:val="20"/>
        </w:rPr>
        <w:t>A reactive approach can be amplified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by</w:t>
      </w:r>
    </w:p>
    <w:p>
      <w:pPr>
        <w:spacing w:before="11"/>
        <w:ind w:left="140" w:right="235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sz w:val="20"/>
          <w:szCs w:val="20"/>
        </w:rPr>
        <w:t>public pressure </w:t>
      </w:r>
      <w:r>
        <w:rPr>
          <w:rFonts w:ascii="Arial" w:hAnsi="Arial" w:cs="Arial" w:eastAsia="Arial"/>
          <w:i/>
          <w:sz w:val="20"/>
          <w:szCs w:val="20"/>
        </w:rPr>
        <w:t>“</w:t>
      </w:r>
      <w:r>
        <w:rPr>
          <w:rFonts w:ascii="Arial" w:hAnsi="Arial" w:cs="Arial" w:eastAsia="Arial"/>
          <w:i/>
          <w:sz w:val="20"/>
          <w:szCs w:val="20"/>
        </w:rPr>
        <w:t>reflecting disproportionate perceptions of risk beyond what an objective</w:t>
      </w:r>
      <w:r>
        <w:rPr>
          <w:rFonts w:ascii="Arial" w:hAnsi="Arial" w:cs="Arial" w:eastAsia="Arial"/>
          <w:i/>
          <w:spacing w:val="-2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assessment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would</w:t>
      </w:r>
      <w:r>
        <w:rPr>
          <w:rFonts w:ascii="Arial" w:hAnsi="Arial" w:cs="Arial" w:eastAsia="Arial"/>
          <w:i/>
          <w:spacing w:val="-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show</w:t>
      </w:r>
      <w:r>
        <w:rPr>
          <w:rFonts w:ascii="Arial" w:hAnsi="Arial" w:cs="Arial" w:eastAsia="Arial"/>
          <w:i/>
          <w:sz w:val="20"/>
          <w:szCs w:val="20"/>
        </w:rPr>
        <w:t>”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position w:val="10"/>
          <w:sz w:val="13"/>
          <w:szCs w:val="13"/>
        </w:rPr>
        <w:t>14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/>
        <w:ind w:right="113"/>
        <w:jc w:val="left"/>
      </w:pPr>
      <w:r>
        <w:rPr/>
        <w:t>The minerals industry was pleased that the Board of Inquiry in their final report, rather than reacting</w:t>
      </w:r>
      <w:r>
        <w:rPr>
          <w:spacing w:val="-25"/>
        </w:rPr>
        <w:t> </w:t>
      </w:r>
      <w:r>
        <w:rPr/>
        <w:t>to</w:t>
      </w:r>
      <w:r>
        <w:rPr>
          <w:w w:val="99"/>
        </w:rPr>
        <w:t> </w:t>
      </w:r>
      <w:r>
        <w:rPr/>
        <w:t>an incident and recommending further piecemeal regulatory reform, acknowledged the foundations</w:t>
      </w:r>
      <w:r>
        <w:rPr>
          <w:spacing w:val="-29"/>
        </w:rPr>
        <w:t> </w:t>
      </w:r>
      <w:r>
        <w:rPr/>
        <w:t>of</w:t>
      </w:r>
      <w:r>
        <w:rPr>
          <w:w w:val="99"/>
        </w:rPr>
        <w:t> </w:t>
      </w:r>
      <w:r>
        <w:rPr/>
        <w:t>risk management and the responsibilities of the Duty Holder and Regulator and the</w:t>
      </w:r>
      <w:r>
        <w:rPr>
          <w:spacing w:val="-11"/>
        </w:rPr>
        <w:t> </w:t>
      </w:r>
      <w:r>
        <w:rPr/>
        <w:t>improvements</w:t>
      </w:r>
      <w:r>
        <w:rPr>
          <w:w w:val="99"/>
        </w:rPr>
        <w:t> </w:t>
      </w:r>
      <w:r>
        <w:rPr/>
        <w:t>required.  The board recommended that the</w:t>
      </w:r>
      <w:r>
        <w:rPr>
          <w:spacing w:val="-13"/>
        </w:rPr>
        <w:t> </w:t>
      </w:r>
      <w:r>
        <w:rPr>
          <w:rFonts w:ascii="Arial" w:hAnsi="Arial" w:cs="Arial" w:eastAsia="Arial"/>
        </w:rPr>
        <w:t>“</w:t>
      </w:r>
      <w:r>
        <w:rPr/>
        <w:t>State: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76" w:lineRule="auto" w:before="0" w:after="0"/>
        <w:ind w:left="860" w:right="480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bring forward the commencement date of s.16 of the Mineral Resources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(Sustainable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Development) Amendment Act 2014 (Vic), to facilitate the requirement that approved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work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plans specifically address fire prevention, mitigation </w:t>
      </w:r>
      <w:r>
        <w:rPr>
          <w:rFonts w:ascii="Arial"/>
          <w:spacing w:val="2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suppression</w:t>
      </w:r>
    </w:p>
    <w:p>
      <w:pPr>
        <w:pStyle w:val="ListParagraph"/>
        <w:numPr>
          <w:ilvl w:val="1"/>
          <w:numId w:val="3"/>
        </w:numPr>
        <w:tabs>
          <w:tab w:pos="861" w:val="left" w:leader="none"/>
        </w:tabs>
        <w:spacing w:line="256" w:lineRule="auto" w:before="121" w:after="0"/>
        <w:ind w:left="860" w:right="235" w:hanging="36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sz w:val="20"/>
          <w:szCs w:val="20"/>
        </w:rPr>
        <w:t>acquire the expertise necessary to monitor and enforce compliance with fire risk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measures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adopted by the Victorian coal mining industry under both the mine licensing and</w:t>
      </w:r>
      <w:r>
        <w:rPr>
          <w:rFonts w:ascii="Arial" w:hAnsi="Arial" w:cs="Arial" w:eastAsia="Arial"/>
          <w:spacing w:val="-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occupational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health and safety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regimes</w:t>
      </w:r>
      <w:r>
        <w:rPr>
          <w:rFonts w:ascii="Arial" w:hAnsi="Arial" w:cs="Arial" w:eastAsia="Arial"/>
          <w:sz w:val="20"/>
          <w:szCs w:val="20"/>
        </w:rPr>
        <w:t>”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position w:val="10"/>
          <w:sz w:val="13"/>
          <w:szCs w:val="13"/>
        </w:rPr>
        <w:t>15</w:t>
      </w:r>
      <w:r>
        <w:rPr>
          <w:rFonts w:ascii="Arial" w:hAnsi="Arial" w:cs="Arial" w:eastAsia="Arial"/>
          <w:sz w:val="13"/>
          <w:szCs w:val="13"/>
        </w:rPr>
      </w:r>
    </w:p>
    <w:p>
      <w:pPr>
        <w:pStyle w:val="BodyText"/>
        <w:spacing w:line="276" w:lineRule="auto" w:before="136"/>
        <w:ind w:right="235"/>
        <w:jc w:val="left"/>
      </w:pPr>
      <w:r>
        <w:rPr/>
        <w:t>Whilst legislation for the first recommendation is now in place, the industry has seen no evidence</w:t>
      </w:r>
      <w:r>
        <w:rPr>
          <w:spacing w:val="-27"/>
        </w:rPr>
        <w:t> </w:t>
      </w:r>
      <w:r>
        <w:rPr/>
        <w:t>that</w:t>
      </w:r>
      <w:r>
        <w:rPr>
          <w:w w:val="99"/>
        </w:rPr>
        <w:t> </w:t>
      </w:r>
      <w:r>
        <w:rPr/>
        <w:t>the required expertise has been</w:t>
      </w:r>
      <w:r>
        <w:rPr>
          <w:spacing w:val="-15"/>
        </w:rPr>
        <w:t> </w:t>
      </w:r>
      <w:r>
        <w:rPr/>
        <w:t>acquired.</w:t>
      </w:r>
    </w:p>
    <w:p>
      <w:pPr>
        <w:pStyle w:val="Heading2"/>
        <w:spacing w:line="240" w:lineRule="auto" w:before="118"/>
        <w:ind w:right="235"/>
        <w:jc w:val="left"/>
        <w:rPr>
          <w:b w:val="0"/>
          <w:bCs w:val="0"/>
        </w:rPr>
      </w:pPr>
      <w:bookmarkStart w:name="_bookmark9" w:id="14"/>
      <w:bookmarkEnd w:id="14"/>
      <w:r>
        <w:rPr>
          <w:b w:val="0"/>
        </w:rPr>
      </w:r>
      <w:r>
        <w:rPr/>
        <w:t>Mine Site</w:t>
      </w:r>
      <w:r>
        <w:rPr>
          <w:spacing w:val="-9"/>
        </w:rPr>
        <w:t> </w:t>
      </w:r>
      <w:r>
        <w:rPr/>
        <w:t>Rehabilitation</w:t>
      </w:r>
      <w:r>
        <w:rPr>
          <w:b w:val="0"/>
        </w:rPr>
      </w:r>
    </w:p>
    <w:p>
      <w:pPr>
        <w:pStyle w:val="BodyText"/>
        <w:spacing w:line="276" w:lineRule="auto" w:before="156"/>
        <w:ind w:right="219"/>
        <w:jc w:val="left"/>
      </w:pPr>
      <w:r>
        <w:rPr/>
        <w:t>Rehabilitation is a complex issue that is considered prior to mineral extraction and further evolves</w:t>
      </w:r>
      <w:r>
        <w:rPr>
          <w:spacing w:val="-34"/>
        </w:rPr>
        <w:t> </w:t>
      </w:r>
      <w:r>
        <w:rPr>
          <w:spacing w:val="-34"/>
        </w:rPr>
      </w:r>
      <w:r>
        <w:rPr/>
        <w:t>over</w:t>
      </w:r>
      <w:r>
        <w:rPr>
          <w:spacing w:val="-1"/>
        </w:rPr>
        <w:t> </w:t>
      </w:r>
      <w:r>
        <w:rPr/>
        <w:t>time with mine development. Given that mines can be very long lived, options for rehabilitation</w:t>
      </w:r>
      <w:r>
        <w:rPr>
          <w:spacing w:val="-28"/>
        </w:rPr>
        <w:t> </w:t>
      </w:r>
      <w:r>
        <w:rPr>
          <w:spacing w:val="-28"/>
        </w:rPr>
      </w:r>
      <w:r>
        <w:rPr/>
        <w:t>and</w:t>
      </w:r>
      <w:r>
        <w:rPr>
          <w:spacing w:val="-1"/>
        </w:rPr>
        <w:t> </w:t>
      </w:r>
      <w:r>
        <w:rPr/>
        <w:t>final land form post mine closure will also evolve with operational requirements,</w:t>
      </w:r>
      <w:r>
        <w:rPr>
          <w:spacing w:val="16"/>
        </w:rPr>
        <w:t> </w:t>
      </w:r>
      <w:r>
        <w:rPr/>
        <w:t>expansion,</w:t>
      </w:r>
      <w:r>
        <w:rPr>
          <w:w w:val="99"/>
        </w:rPr>
        <w:t> </w:t>
      </w:r>
      <w:r>
        <w:rPr/>
        <w:t>community expectation, geological knowledge and government requirements. Each site has</w:t>
      </w:r>
      <w:r>
        <w:rPr>
          <w:spacing w:val="-20"/>
        </w:rPr>
        <w:t> </w:t>
      </w:r>
      <w:r>
        <w:rPr/>
        <w:t>unique</w:t>
      </w:r>
      <w:r>
        <w:rPr>
          <w:w w:val="99"/>
        </w:rPr>
        <w:t> </w:t>
      </w:r>
      <w:r>
        <w:rPr/>
        <w:t>attributes and a </w:t>
      </w:r>
      <w:r>
        <w:rPr>
          <w:rFonts w:ascii="Arial" w:hAnsi="Arial" w:cs="Arial" w:eastAsia="Arial"/>
        </w:rPr>
        <w:t>‘</w:t>
      </w:r>
      <w:r>
        <w:rPr/>
        <w:t>one-size-fits-all</w:t>
      </w:r>
      <w:r>
        <w:rPr>
          <w:rFonts w:ascii="Arial" w:hAnsi="Arial" w:cs="Arial" w:eastAsia="Arial"/>
        </w:rPr>
        <w:t>’ </w:t>
      </w:r>
      <w:r>
        <w:rPr/>
        <w:t>approach is not possible. The specific geology in the Latrobe</w:t>
      </w:r>
      <w:r>
        <w:rPr>
          <w:spacing w:val="-25"/>
        </w:rPr>
        <w:t> </w:t>
      </w:r>
      <w:r>
        <w:rPr/>
        <w:t>Valley</w:t>
      </w:r>
      <w:r>
        <w:rPr>
          <w:w w:val="99"/>
        </w:rPr>
        <w:t> </w:t>
      </w:r>
      <w:r>
        <w:rPr/>
        <w:t>does not a</w:t>
      </w:r>
      <w:r>
        <w:rPr>
          <w:rFonts w:ascii="Arial" w:hAnsi="Arial" w:cs="Arial" w:eastAsia="Arial"/>
        </w:rPr>
        <w:t>llow for rehabilitation techniques used for harder coals and metalliferous. Numerous</w:t>
      </w:r>
      <w:r>
        <w:rPr>
          <w:rFonts w:ascii="Arial" w:hAnsi="Arial" w:cs="Arial" w:eastAsia="Arial"/>
          <w:spacing w:val="-28"/>
        </w:rPr>
        <w:t> </w:t>
      </w:r>
      <w:r>
        <w:rPr>
          <w:rFonts w:ascii="Arial" w:hAnsi="Arial" w:cs="Arial" w:eastAsia="Arial"/>
        </w:rPr>
        <w:t>‘ideas’</w:t>
      </w:r>
      <w:r>
        <w:rPr>
          <w:rFonts w:ascii="Arial" w:hAnsi="Arial" w:cs="Arial" w:eastAsia="Arial"/>
          <w:w w:val="99"/>
        </w:rPr>
        <w:t> </w:t>
      </w:r>
      <w:r>
        <w:rPr/>
        <w:t>for rehabilitation of these mines have been proposed by third parties over the years that would</w:t>
      </w:r>
      <w:r>
        <w:rPr>
          <w:spacing w:val="-18"/>
        </w:rPr>
        <w:t> </w:t>
      </w:r>
      <w:r>
        <w:rPr/>
        <w:t>simply</w:t>
      </w:r>
      <w:r>
        <w:rPr>
          <w:w w:val="99"/>
        </w:rPr>
        <w:t> </w:t>
      </w:r>
      <w:r>
        <w:rPr/>
        <w:t>not work; such as repurposing the voids for townships or industrial</w:t>
      </w:r>
      <w:r>
        <w:rPr>
          <w:spacing w:val="-21"/>
        </w:rPr>
        <w:t> </w:t>
      </w:r>
      <w:r>
        <w:rPr/>
        <w:t>landscapes.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"/>
        <w:jc w:val="left"/>
      </w:pPr>
      <w:r>
        <w:rPr/>
        <w:t>It is important that discussion around rehabilitation is based on international leading practice</w:t>
      </w:r>
      <w:r>
        <w:rPr>
          <w:spacing w:val="-19"/>
        </w:rPr>
        <w:t> </w:t>
      </w:r>
      <w:r>
        <w:rPr/>
        <w:t>methods</w:t>
      </w:r>
      <w:r>
        <w:rPr>
          <w:w w:val="99"/>
        </w:rPr>
        <w:t> </w:t>
      </w:r>
      <w:r>
        <w:rPr/>
        <w:t>and that are suitable to the underlying geological and landscape conditions. </w:t>
      </w:r>
      <w:r>
        <w:rPr>
          <w:spacing w:val="2"/>
        </w:rPr>
        <w:t>All</w:t>
      </w:r>
      <w:r>
        <w:rPr>
          <w:spacing w:val="-20"/>
        </w:rPr>
        <w:t> </w:t>
      </w:r>
      <w:r>
        <w:rPr/>
        <w:t>recommendations</w:t>
      </w:r>
      <w:r>
        <w:rPr>
          <w:w w:val="99"/>
        </w:rPr>
        <w:t> </w:t>
      </w:r>
      <w:r>
        <w:rPr/>
        <w:t>regarding rehabilitation must be are sensible, workable and economically feasible in the</w:t>
      </w:r>
      <w:r>
        <w:rPr>
          <w:spacing w:val="-16"/>
        </w:rPr>
        <w:t> </w:t>
      </w:r>
      <w:r>
        <w:rPr/>
        <w:t>Australian</w:t>
      </w:r>
      <w:r>
        <w:rPr>
          <w:w w:val="99"/>
        </w:rPr>
        <w:t> </w:t>
      </w:r>
      <w:r>
        <w:rPr/>
        <w:t>context.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3" w:lineRule="exact" w:before="38" w:after="0"/>
        <w:ind w:left="339" w:right="235" w:hanging="19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Victorian Government, </w:t>
      </w:r>
      <w:r>
        <w:rPr>
          <w:rFonts w:ascii="Arial"/>
          <w:i/>
          <w:sz w:val="16"/>
        </w:rPr>
        <w:t>second submission to the Board of Inquiry</w:t>
      </w:r>
      <w:r>
        <w:rPr>
          <w:rFonts w:ascii="Arial"/>
          <w:sz w:val="16"/>
        </w:rPr>
        <w:t>, June 2014,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p42.</w:t>
      </w: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3" w:lineRule="exact" w:before="0" w:after="0"/>
        <w:ind w:left="339" w:right="235" w:hanging="19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Peterson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Fensling,</w:t>
      </w:r>
      <w:r>
        <w:rPr>
          <w:rFonts w:ascii="Arial"/>
          <w:spacing w:val="1"/>
          <w:sz w:val="16"/>
        </w:rPr>
        <w:t> </w:t>
      </w:r>
      <w:r>
        <w:rPr>
          <w:rFonts w:ascii="Arial"/>
          <w:i/>
          <w:sz w:val="16"/>
        </w:rPr>
        <w:t>Risk-based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regulation: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good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practice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and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lessons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for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Victorian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context</w:t>
      </w:r>
      <w:r>
        <w:rPr>
          <w:rFonts w:ascii="Arial"/>
          <w:sz w:val="16"/>
        </w:rPr>
        <w:t>,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paper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presented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at</w:t>
      </w:r>
    </w:p>
    <w:p>
      <w:pPr>
        <w:spacing w:line="165" w:lineRule="exact" w:before="8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the Victorian Competition and Efficiency Commission Regulatory Conference, Melbourne, 1 April</w:t>
      </w:r>
      <w:r>
        <w:rPr>
          <w:rFonts w:ascii="Arial"/>
          <w:spacing w:val="-29"/>
          <w:sz w:val="16"/>
        </w:rPr>
        <w:t> </w:t>
      </w:r>
      <w:r>
        <w:rPr>
          <w:rFonts w:ascii="Arial"/>
          <w:sz w:val="16"/>
        </w:rPr>
        <w:t>2011.</w:t>
      </w:r>
    </w:p>
    <w:p>
      <w:pPr>
        <w:spacing w:line="230" w:lineRule="exact" w:before="0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position w:val="10"/>
          <w:sz w:val="13"/>
          <w:szCs w:val="13"/>
        </w:rPr>
        <w:t>14 </w:t>
      </w:r>
      <w:r>
        <w:rPr>
          <w:rFonts w:ascii="Arial" w:hAnsi="Arial" w:cs="Arial" w:eastAsia="Arial"/>
          <w:sz w:val="16"/>
          <w:szCs w:val="16"/>
        </w:rPr>
        <w:t>Better Regulation Commission, </w:t>
      </w:r>
      <w:r>
        <w:rPr>
          <w:rFonts w:ascii="Arial" w:hAnsi="Arial" w:cs="Arial" w:eastAsia="Arial"/>
          <w:i/>
          <w:color w:val="0000FF"/>
          <w:sz w:val="20"/>
          <w:szCs w:val="20"/>
        </w:rPr>
      </w:r>
      <w:hyperlink r:id="rId19">
        <w:r>
          <w:rPr>
            <w:rFonts w:ascii="Arial" w:hAnsi="Arial" w:cs="Arial" w:eastAsia="Arial"/>
            <w:i/>
            <w:color w:val="0000FF"/>
            <w:sz w:val="20"/>
            <w:szCs w:val="20"/>
            <w:u w:val="single" w:color="0000FF"/>
          </w:rPr>
          <w:t>Risk, responsibility and regulation </w:t>
        </w:r>
        <w:r>
          <w:rPr>
            <w:rFonts w:ascii="Arial" w:hAnsi="Arial" w:cs="Arial" w:eastAsia="Arial"/>
            <w:i/>
            <w:color w:val="0000FF"/>
            <w:sz w:val="20"/>
            <w:szCs w:val="20"/>
            <w:u w:val="single" w:color="0000FF"/>
          </w:rPr>
          <w:t>– </w:t>
        </w:r>
        <w:r>
          <w:rPr>
            <w:rFonts w:ascii="Arial" w:hAnsi="Arial" w:cs="Arial" w:eastAsia="Arial"/>
            <w:i/>
            <w:color w:val="0000FF"/>
            <w:sz w:val="20"/>
            <w:szCs w:val="20"/>
            <w:u w:val="single" w:color="0000FF"/>
          </w:rPr>
          <w:t>whose risk is it anyway</w:t>
        </w:r>
        <w:r>
          <w:rPr>
            <w:rFonts w:ascii="Arial" w:hAnsi="Arial" w:cs="Arial" w:eastAsia="Arial"/>
            <w:i/>
            <w:color w:val="0000FF"/>
            <w:sz w:val="16"/>
            <w:szCs w:val="16"/>
            <w:u w:val="single" w:color="0000FF"/>
          </w:rPr>
          <w:t>?</w:t>
        </w:r>
        <w:r>
          <w:rPr>
            <w:rFonts w:ascii="Arial" w:hAnsi="Arial" w:cs="Arial" w:eastAsia="Arial"/>
            <w:i/>
            <w:color w:val="0000FF"/>
            <w:sz w:val="20"/>
            <w:szCs w:val="20"/>
            <w:u w:val="single" w:color="0000FF"/>
          </w:rPr>
          <w:t>,</w:t>
        </w:r>
        <w:r>
          <w:rPr>
            <w:rFonts w:ascii="Arial" w:hAnsi="Arial" w:cs="Arial" w:eastAsia="Arial"/>
            <w:i/>
            <w:color w:val="0000FF"/>
            <w:spacing w:val="-18"/>
            <w:sz w:val="20"/>
            <w:szCs w:val="20"/>
            <w:u w:val="single" w:color="0000FF"/>
          </w:rPr>
          <w:t> </w:t>
        </w:r>
        <w:r>
          <w:rPr>
            <w:rFonts w:ascii="Arial" w:hAnsi="Arial" w:cs="Arial" w:eastAsia="Arial"/>
            <w:i/>
            <w:color w:val="0000FF"/>
            <w:spacing w:val="-18"/>
            <w:sz w:val="20"/>
            <w:szCs w:val="20"/>
          </w:rPr>
        </w:r>
      </w:hyperlink>
      <w:r>
        <w:rPr>
          <w:rFonts w:ascii="Arial" w:hAnsi="Arial" w:cs="Arial" w:eastAsia="Arial"/>
          <w:sz w:val="16"/>
          <w:szCs w:val="16"/>
        </w:rPr>
        <w:t>2006.</w:t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0" w:lineRule="exact" w:before="0" w:after="0"/>
        <w:ind w:left="339" w:right="235" w:hanging="199"/>
        <w:jc w:val="left"/>
        <w:rPr>
          <w:rFonts w:ascii="Arial" w:hAnsi="Arial" w:cs="Arial" w:eastAsia="Arial"/>
          <w:sz w:val="16"/>
          <w:szCs w:val="16"/>
        </w:rPr>
      </w:pPr>
      <w:hyperlink r:id="rId20">
        <w:r>
          <w:rPr>
            <w:rFonts w:ascii="Arial"/>
            <w:i/>
            <w:color w:val="0000FF"/>
            <w:sz w:val="16"/>
            <w:u w:val="single" w:color="0000FF"/>
          </w:rPr>
          <w:t>Hazelwood Mine Fire Inquiry Board of Inquiry Report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sz w:val="16"/>
          </w:rPr>
          <w:t>,</w:t>
        </w:r>
      </w:hyperlink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2014</w:t>
      </w:r>
    </w:p>
    <w:p>
      <w:pPr>
        <w:spacing w:after="0" w:line="240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0" w:footer="652" w:top="1340" w:bottom="860" w:left="1300" w:right="1300"/>
        </w:sectPr>
      </w:pPr>
    </w:p>
    <w:p>
      <w:pPr>
        <w:pStyle w:val="BodyText"/>
        <w:spacing w:line="276" w:lineRule="auto" w:before="59"/>
        <w:ind w:right="235"/>
        <w:jc w:val="left"/>
      </w:pPr>
      <w:r>
        <w:rPr/>
        <w:t>Some submissions to the 2014 Inquiry appeared to view rehabilitation as a simplistic,</w:t>
      </w:r>
      <w:r>
        <w:rPr>
          <w:spacing w:val="-16"/>
        </w:rPr>
        <w:t> </w:t>
      </w:r>
      <w:r>
        <w:rPr/>
        <w:t>easily</w:t>
      </w:r>
      <w:r>
        <w:rPr>
          <w:w w:val="99"/>
        </w:rPr>
        <w:t> </w:t>
      </w:r>
      <w:r>
        <w:rPr/>
        <w:t>completed aspect of mine management and a tool that can be used in isolation to manage fire</w:t>
      </w:r>
      <w:r>
        <w:rPr>
          <w:spacing w:val="-16"/>
        </w:rPr>
        <w:t> </w:t>
      </w:r>
      <w:r>
        <w:rPr/>
        <w:t>risk.</w:t>
      </w:r>
      <w:r>
        <w:rPr>
          <w:w w:val="99"/>
        </w:rPr>
        <w:t> </w:t>
      </w:r>
      <w:r>
        <w:rPr/>
        <w:t>Rehabilitation is just one risk management tool. It was pleasing therefore that the Board of</w:t>
      </w:r>
      <w:r>
        <w:rPr>
          <w:spacing w:val="-22"/>
        </w:rPr>
        <w:t> </w:t>
      </w:r>
      <w:r>
        <w:rPr/>
        <w:t>Inquiry</w:t>
      </w:r>
      <w:r>
        <w:rPr>
          <w:w w:val="99"/>
        </w:rPr>
        <w:t> </w:t>
      </w:r>
      <w:r>
        <w:rPr/>
        <w:t>report</w:t>
      </w:r>
      <w:r>
        <w:rPr>
          <w:spacing w:val="-6"/>
        </w:rPr>
        <w:t> </w:t>
      </w:r>
      <w:r>
        <w:rPr/>
        <w:t>stated: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line="256" w:lineRule="auto" w:before="0"/>
        <w:ind w:left="860" w:right="113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i/>
          <w:sz w:val="20"/>
          <w:szCs w:val="20"/>
        </w:rPr>
        <w:t>“While rehabilitation is a routine method of covering exposed coal that could be used as a</w:t>
      </w:r>
      <w:r>
        <w:rPr>
          <w:rFonts w:ascii="Arial" w:hAnsi="Arial" w:cs="Arial" w:eastAsia="Arial"/>
          <w:i/>
          <w:spacing w:val="-2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fire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prevention method, there are various factors that make progressive rehabilitation a</w:t>
      </w:r>
      <w:r>
        <w:rPr>
          <w:rFonts w:ascii="Arial" w:hAnsi="Arial" w:cs="Arial" w:eastAsia="Arial"/>
          <w:i/>
          <w:spacing w:val="-2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complex,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costly and time </w:t>
      </w:r>
      <w:r>
        <w:rPr>
          <w:rFonts w:ascii="Arial" w:hAnsi="Arial" w:cs="Arial" w:eastAsia="Arial"/>
          <w:i/>
          <w:sz w:val="20"/>
          <w:szCs w:val="20"/>
        </w:rPr>
        <w:t>consuming</w:t>
      </w:r>
      <w:r>
        <w:rPr>
          <w:rFonts w:ascii="Arial" w:hAnsi="Arial" w:cs="Arial" w:eastAsia="Arial"/>
          <w:i/>
          <w:spacing w:val="-1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exercise.”</w:t>
      </w:r>
      <w:r>
        <w:rPr>
          <w:rFonts w:ascii="Arial" w:hAnsi="Arial" w:cs="Arial" w:eastAsia="Arial"/>
          <w:i/>
          <w:position w:val="10"/>
          <w:sz w:val="13"/>
          <w:szCs w:val="13"/>
        </w:rPr>
        <w:t>16</w:t>
      </w:r>
      <w:r>
        <w:rPr>
          <w:rFonts w:ascii="Arial" w:hAnsi="Arial" w:cs="Arial" w:eastAsia="Arial"/>
          <w:sz w:val="13"/>
          <w:szCs w:val="13"/>
        </w:rPr>
      </w:r>
    </w:p>
    <w:p>
      <w:pPr>
        <w:spacing w:line="240" w:lineRule="auto" w:before="1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spacing w:line="276" w:lineRule="auto"/>
        <w:ind w:right="368"/>
        <w:jc w:val="both"/>
      </w:pPr>
      <w:r>
        <w:rPr/>
        <w:t>Focusing on one risk management tool to manage a specific risk can have the undesirable effect</w:t>
      </w:r>
      <w:r>
        <w:rPr>
          <w:spacing w:val="-22"/>
        </w:rPr>
        <w:t> </w:t>
      </w:r>
      <w:r>
        <w:rPr/>
        <w:t>of</w:t>
      </w:r>
      <w:r>
        <w:rPr>
          <w:w w:val="99"/>
        </w:rPr>
        <w:t> </w:t>
      </w:r>
      <w:r>
        <w:rPr/>
        <w:t>raising the risk profile in other aspects of a mining operation. Care must be taken to ensure that</w:t>
      </w:r>
      <w:r>
        <w:rPr>
          <w:spacing w:val="-26"/>
        </w:rPr>
        <w:t> </w:t>
      </w:r>
      <w:r>
        <w:rPr/>
        <w:t>an</w:t>
      </w:r>
      <w:r>
        <w:rPr>
          <w:w w:val="99"/>
        </w:rPr>
        <w:t> </w:t>
      </w:r>
      <w:r>
        <w:rPr/>
        <w:t>operator can manage a suite of risks holistically and have systems in place that adapt to changes</w:t>
      </w:r>
      <w:r>
        <w:rPr>
          <w:spacing w:val="-31"/>
        </w:rPr>
        <w:t> </w:t>
      </w:r>
      <w:r>
        <w:rPr/>
        <w:t>in</w:t>
      </w:r>
      <w:r>
        <w:rPr>
          <w:w w:val="99"/>
        </w:rPr>
        <w:t> </w:t>
      </w:r>
      <w:r>
        <w:rPr/>
        <w:t>risk profiles across an</w:t>
      </w:r>
      <w:r>
        <w:rPr>
          <w:spacing w:val="-10"/>
        </w:rPr>
        <w:t> </w:t>
      </w:r>
      <w:r>
        <w:rPr/>
        <w:t>operation.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/>
        <w:ind w:right="113"/>
        <w:jc w:val="left"/>
      </w:pPr>
      <w:r>
        <w:rPr/>
        <w:t>The MCA is currently developing a booklet of leading practice mine rehabilitation/closure case</w:t>
      </w:r>
      <w:r>
        <w:rPr>
          <w:spacing w:val="-23"/>
        </w:rPr>
        <w:t> </w:t>
      </w:r>
      <w:r>
        <w:rPr/>
        <w:t>studies</w:t>
      </w:r>
      <w:r>
        <w:rPr>
          <w:w w:val="99"/>
        </w:rPr>
        <w:t> </w:t>
      </w:r>
      <w:r>
        <w:rPr/>
        <w:t>to improve community understanding of mine rehabilitation and </w:t>
      </w:r>
      <w:r>
        <w:rPr>
          <w:rFonts w:ascii="Arial" w:hAnsi="Arial" w:cs="Arial" w:eastAsia="Arial"/>
        </w:rPr>
        <w:t>demonstrate industry’s</w:t>
      </w:r>
      <w:r>
        <w:rPr>
          <w:rFonts w:ascii="Arial" w:hAnsi="Arial" w:cs="Arial" w:eastAsia="Arial"/>
          <w:spacing w:val="-15"/>
        </w:rPr>
        <w:t> </w:t>
      </w:r>
      <w:r>
        <w:rPr>
          <w:rFonts w:ascii="Arial" w:hAnsi="Arial" w:cs="Arial" w:eastAsia="Arial"/>
        </w:rPr>
        <w:t>commitment</w:t>
      </w:r>
      <w:r>
        <w:rPr>
          <w:rFonts w:ascii="Arial" w:hAnsi="Arial" w:cs="Arial" w:eastAsia="Arial"/>
          <w:w w:val="99"/>
        </w:rPr>
        <w:t> </w:t>
      </w:r>
      <w:r>
        <w:rPr/>
        <w:t>and performance on rehabilitation and post mining land uses. This booklet will be provided to</w:t>
      </w:r>
      <w:r>
        <w:rPr>
          <w:spacing w:val="-19"/>
        </w:rPr>
        <w:t> </w:t>
      </w:r>
      <w:r>
        <w:rPr/>
        <w:t>the</w:t>
      </w:r>
      <w:r>
        <w:rPr>
          <w:w w:val="99"/>
        </w:rPr>
        <w:t> </w:t>
      </w:r>
      <w:r>
        <w:rPr/>
        <w:t>Inquiry once</w:t>
      </w:r>
      <w:r>
        <w:rPr>
          <w:spacing w:val="-7"/>
        </w:rPr>
        <w:t> </w:t>
      </w:r>
      <w:r>
        <w:rPr/>
        <w:t>finalised.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64" w:lineRule="auto"/>
        <w:ind w:right="235"/>
        <w:jc w:val="left"/>
      </w:pPr>
      <w:r>
        <w:rPr/>
        <w:t>The minerals industry is working closely with the Australian Government on the update to</w:t>
      </w:r>
      <w:r>
        <w:rPr>
          <w:spacing w:val="-21"/>
        </w:rPr>
        <w:t> </w:t>
      </w:r>
      <w:r>
        <w:rPr/>
        <w:t>the</w:t>
      </w:r>
      <w:r>
        <w:rPr>
          <w:spacing w:val="-1"/>
          <w:w w:val="99"/>
        </w:rPr>
        <w:t> </w:t>
      </w:r>
      <w:r>
        <w:rPr/>
        <w:t>internationally successful Leading Practice Sustainable Development Program for the</w:t>
      </w:r>
      <w:r>
        <w:rPr>
          <w:spacing w:val="-20"/>
        </w:rPr>
        <w:t> </w:t>
      </w:r>
      <w:r>
        <w:rPr/>
        <w:t>Mining</w:t>
      </w:r>
      <w:r>
        <w:rPr>
          <w:w w:val="99"/>
        </w:rPr>
        <w:t> </w:t>
      </w:r>
      <w:r>
        <w:rPr/>
        <w:t>Industry.</w:t>
      </w:r>
      <w:r>
        <w:rPr>
          <w:position w:val="10"/>
          <w:sz w:val="13"/>
        </w:rPr>
        <w:t>17 </w:t>
      </w:r>
      <w:r>
        <w:rPr/>
        <w:t>The leading practice handbooks produced under the program aim to assist</w:t>
      </w:r>
      <w:r>
        <w:rPr>
          <w:spacing w:val="-2"/>
        </w:rPr>
        <w:t> </w:t>
      </w:r>
      <w:r>
        <w:rPr/>
        <w:t>industry</w:t>
      </w:r>
      <w:r>
        <w:rPr>
          <w:w w:val="99"/>
        </w:rPr>
        <w:t> </w:t>
      </w:r>
      <w:r>
        <w:rPr/>
        <w:t>professionals.  The update includes both the mine rehabilitation and closure</w:t>
      </w:r>
      <w:r>
        <w:rPr>
          <w:spacing w:val="-13"/>
        </w:rPr>
        <w:t> </w:t>
      </w:r>
      <w:r>
        <w:rPr/>
        <w:t>handbooks.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/>
        <w:ind w:right="235"/>
        <w:jc w:val="left"/>
        <w:rPr>
          <w:b w:val="0"/>
          <w:bCs w:val="0"/>
        </w:rPr>
      </w:pPr>
      <w:bookmarkStart w:name="_bookmark10" w:id="15"/>
      <w:bookmarkEnd w:id="15"/>
      <w:r>
        <w:rPr>
          <w:b w:val="0"/>
        </w:rPr>
      </w:r>
      <w:r>
        <w:rPr/>
        <w:t>Rehabilitation</w:t>
      </w:r>
      <w:r>
        <w:rPr>
          <w:spacing w:val="-7"/>
        </w:rPr>
        <w:t> </w:t>
      </w:r>
      <w:r>
        <w:rPr/>
        <w:t>Bonds</w:t>
      </w:r>
      <w:r>
        <w:rPr>
          <w:b w:val="0"/>
        </w:rPr>
      </w:r>
    </w:p>
    <w:p>
      <w:pPr>
        <w:pStyle w:val="BodyText"/>
        <w:spacing w:line="278" w:lineRule="auto" w:before="156"/>
        <w:ind w:right="235"/>
        <w:jc w:val="left"/>
      </w:pPr>
      <w:r>
        <w:rPr/>
        <w:t>Rehabilitation bonds or financial sureties are required under state law prior to the commencement</w:t>
      </w:r>
      <w:r>
        <w:rPr>
          <w:spacing w:val="-20"/>
        </w:rPr>
        <w:t> </w:t>
      </w:r>
      <w:r>
        <w:rPr/>
        <w:t>of</w:t>
      </w:r>
      <w:r>
        <w:rPr>
          <w:w w:val="99"/>
        </w:rPr>
        <w:t> </w:t>
      </w:r>
      <w:r>
        <w:rPr/>
        <w:t>exploration or</w:t>
      </w:r>
      <w:r>
        <w:rPr>
          <w:spacing w:val="-8"/>
        </w:rPr>
        <w:t> </w:t>
      </w:r>
      <w:r>
        <w:rPr/>
        <w:t>mining.</w:t>
      </w:r>
    </w:p>
    <w:p>
      <w:pPr>
        <w:pStyle w:val="BodyText"/>
        <w:spacing w:line="276" w:lineRule="auto" w:before="118"/>
        <w:ind w:right="235"/>
        <w:jc w:val="left"/>
      </w:pPr>
      <w:r>
        <w:rPr/>
        <w:t>There are a range of models across Australia that provide this financial surety for mine closure</w:t>
      </w:r>
      <w:r>
        <w:rPr>
          <w:spacing w:val="-24"/>
        </w:rPr>
        <w:t> </w:t>
      </w:r>
      <w:r>
        <w:rPr/>
        <w:t>and</w:t>
      </w:r>
      <w:r>
        <w:rPr>
          <w:w w:val="99"/>
        </w:rPr>
        <w:t> </w:t>
      </w:r>
      <w:r>
        <w:rPr/>
        <w:t>rehabilitation. Notwithstanding the assurance to the community that government monies will not</w:t>
      </w:r>
      <w:r>
        <w:rPr>
          <w:spacing w:val="-20"/>
        </w:rPr>
        <w:t> </w:t>
      </w:r>
      <w:r>
        <w:rPr/>
        <w:t>be</w:t>
      </w:r>
      <w:r>
        <w:rPr>
          <w:w w:val="99"/>
        </w:rPr>
        <w:t> </w:t>
      </w:r>
      <w:r>
        <w:rPr/>
        <w:t>required to adequately rehabilitate a mine site, bonds result in companies taking on a</w:t>
      </w:r>
      <w:r>
        <w:rPr>
          <w:spacing w:val="-24"/>
        </w:rPr>
        <w:t> </w:t>
      </w:r>
      <w:r>
        <w:rPr/>
        <w:t>significant</w:t>
      </w:r>
      <w:r>
        <w:rPr>
          <w:w w:val="99"/>
        </w:rPr>
        <w:t> </w:t>
      </w:r>
      <w:r>
        <w:rPr/>
        <w:t>financial burden upfront, long before any rehabilitation is</w:t>
      </w:r>
      <w:r>
        <w:rPr>
          <w:spacing w:val="-24"/>
        </w:rPr>
        <w:t> </w:t>
      </w:r>
      <w:r>
        <w:rPr/>
        <w:t>required.</w:t>
      </w:r>
    </w:p>
    <w:p>
      <w:pPr>
        <w:pStyle w:val="BodyText"/>
        <w:spacing w:line="276" w:lineRule="auto" w:before="123"/>
        <w:ind w:right="113"/>
        <w:jc w:val="left"/>
      </w:pPr>
      <w:r>
        <w:rPr/>
        <w:t>A bank guarantee entered into by a company is the most common method to ensure sufficient</w:t>
      </w:r>
      <w:r>
        <w:rPr>
          <w:spacing w:val="-21"/>
        </w:rPr>
        <w:t> </w:t>
      </w:r>
      <w:r>
        <w:rPr/>
        <w:t>funds</w:t>
      </w:r>
      <w:r>
        <w:rPr>
          <w:w w:val="99"/>
        </w:rPr>
        <w:t> </w:t>
      </w:r>
      <w:r>
        <w:rPr/>
        <w:t>are available in the case of non-compliance, insolvency, financial difficulty or early closure, and</w:t>
      </w:r>
      <w:r>
        <w:rPr>
          <w:spacing w:val="-21"/>
        </w:rPr>
        <w:t> </w:t>
      </w:r>
      <w:r>
        <w:rPr/>
        <w:t>the</w:t>
      </w:r>
      <w:r>
        <w:rPr>
          <w:w w:val="99"/>
        </w:rPr>
        <w:t> </w:t>
      </w:r>
      <w:r>
        <w:rPr/>
        <w:t>government is left with the rehabilitation burden. Bank guarantees are costly to maintain (2-3 per</w:t>
      </w:r>
      <w:r>
        <w:rPr>
          <w:spacing w:val="-20"/>
        </w:rPr>
        <w:t> </w:t>
      </w:r>
      <w:r>
        <w:rPr/>
        <w:t>cent</w:t>
      </w:r>
      <w:r>
        <w:rPr>
          <w:w w:val="99"/>
        </w:rPr>
        <w:t> </w:t>
      </w:r>
      <w:r>
        <w:rPr/>
        <w:t>per annum), lock up capital and </w:t>
      </w:r>
      <w:r>
        <w:rPr>
          <w:rFonts w:ascii="Arial" w:hAnsi="Arial" w:cs="Arial" w:eastAsia="Arial"/>
        </w:rPr>
        <w:t>can impact on a company’s further borrowing capacity. </w:t>
      </w:r>
      <w:r>
        <w:rPr/>
        <w:t>In</w:t>
      </w:r>
      <w:r>
        <w:rPr>
          <w:spacing w:val="-16"/>
        </w:rPr>
        <w:t> </w:t>
      </w:r>
      <w:r>
        <w:rPr/>
        <w:t>addition,</w:t>
      </w:r>
      <w:r>
        <w:rPr>
          <w:w w:val="99"/>
        </w:rPr>
        <w:t> </w:t>
      </w:r>
      <w:r>
        <w:rPr/>
        <w:t>whilst these funds are locked up, further funds are required to actually undertake the</w:t>
      </w:r>
      <w:r>
        <w:rPr>
          <w:spacing w:val="-20"/>
        </w:rPr>
        <w:t> </w:t>
      </w:r>
      <w:r>
        <w:rPr/>
        <w:t>rehabilitation</w:t>
      </w:r>
      <w:r>
        <w:rPr>
          <w:w w:val="99"/>
        </w:rPr>
        <w:t> </w:t>
      </w:r>
      <w:r>
        <w:rPr/>
        <w:t>works. This is inefficient for the operator, as well as for the wider economy since assets</w:t>
      </w:r>
      <w:r>
        <w:rPr>
          <w:spacing w:val="-10"/>
        </w:rPr>
        <w:t> </w:t>
      </w:r>
      <w:r>
        <w:rPr/>
        <w:t>are</w:t>
      </w:r>
      <w:r>
        <w:rPr>
          <w:w w:val="99"/>
        </w:rPr>
        <w:t> </w:t>
      </w:r>
      <w:r>
        <w:rPr/>
        <w:t>quarantined for the duration of the project rather than producing income.  Premiums paid in</w:t>
      </w:r>
      <w:r>
        <w:rPr>
          <w:spacing w:val="-21"/>
        </w:rPr>
        <w:t> </w:t>
      </w:r>
      <w:r>
        <w:rPr/>
        <w:t>bank</w:t>
      </w:r>
    </w:p>
    <w:p>
      <w:pPr>
        <w:pStyle w:val="BodyText"/>
        <w:spacing w:line="230" w:lineRule="exact"/>
        <w:ind w:right="235"/>
        <w:jc w:val="left"/>
        <w:rPr>
          <w:sz w:val="13"/>
          <w:szCs w:val="13"/>
        </w:rPr>
      </w:pPr>
      <w:r>
        <w:rPr/>
        <w:t>guarantees are not refundable and do not contribute to tangible environmental</w:t>
      </w:r>
      <w:r>
        <w:rPr>
          <w:spacing w:val="-19"/>
        </w:rPr>
        <w:t> </w:t>
      </w:r>
      <w:r>
        <w:rPr/>
        <w:t>benefits.</w:t>
      </w:r>
      <w:r>
        <w:rPr>
          <w:position w:val="10"/>
          <w:sz w:val="13"/>
        </w:rPr>
        <w:t>18</w:t>
      </w:r>
      <w:r>
        <w:rPr>
          <w:sz w:val="13"/>
        </w:rPr>
      </w:r>
    </w:p>
    <w:p>
      <w:pPr>
        <w:pStyle w:val="BodyText"/>
        <w:spacing w:line="276" w:lineRule="auto" w:before="154"/>
        <w:ind w:right="235"/>
        <w:jc w:val="left"/>
      </w:pPr>
      <w:r>
        <w:rPr/>
        <w:t>A bond calculator was introduced in 2007 with costs imbedded in the calculator</w:t>
      </w:r>
      <w:r>
        <w:rPr>
          <w:spacing w:val="-9"/>
        </w:rPr>
        <w:t> </w:t>
      </w:r>
      <w:r>
        <w:rPr/>
        <w:t>assuming</w:t>
      </w:r>
      <w:r>
        <w:rPr>
          <w:w w:val="99"/>
        </w:rPr>
        <w:t> </w:t>
      </w:r>
      <w:r>
        <w:rPr/>
        <w:t>rehabilitation would be undertaken by a third party (i.e. assuming a company would default on</w:t>
      </w:r>
      <w:r>
        <w:rPr>
          <w:spacing w:val="-32"/>
        </w:rPr>
        <w:t> </w:t>
      </w:r>
      <w:r>
        <w:rPr/>
        <w:t>its</w:t>
      </w:r>
      <w:r>
        <w:rPr>
          <w:w w:val="99"/>
        </w:rPr>
        <w:t> </w:t>
      </w:r>
      <w:r>
        <w:rPr/>
        <w:t>requirements).</w:t>
      </w:r>
    </w:p>
    <w:p>
      <w:pPr>
        <w:pStyle w:val="BodyText"/>
        <w:spacing w:line="276" w:lineRule="auto" w:before="120"/>
        <w:ind w:right="147"/>
        <w:jc w:val="left"/>
      </w:pPr>
      <w:r>
        <w:rPr/>
        <w:t>A review of rehabilitation bonds has been underway since 2009 with the release of an issues paper</w:t>
      </w:r>
      <w:r>
        <w:rPr>
          <w:spacing w:val="-23"/>
        </w:rPr>
        <w:t> </w:t>
      </w:r>
      <w:r>
        <w:rPr/>
        <w:t>by</w:t>
      </w:r>
      <w:r>
        <w:rPr>
          <w:w w:val="99"/>
        </w:rPr>
        <w:t> </w:t>
      </w:r>
      <w:r>
        <w:rPr/>
        <w:t>the former Department of Primary Industries. Industry submitted that system assumes a 100 per</w:t>
      </w:r>
      <w:r>
        <w:rPr>
          <w:spacing w:val="-19"/>
        </w:rPr>
        <w:t> </w:t>
      </w:r>
      <w:r>
        <w:rPr/>
        <w:t>cent</w:t>
      </w:r>
      <w:r>
        <w:rPr>
          <w:w w:val="99"/>
        </w:rPr>
        <w:t> </w:t>
      </w:r>
      <w:r>
        <w:rPr>
          <w:rFonts w:ascii="Arial" w:hAnsi="Arial" w:cs="Arial" w:eastAsia="Arial"/>
        </w:rPr>
        <w:t>failure rate and doesn’t acknowledge a company’s risk profile, assets, financial stability,</w:t>
      </w:r>
      <w:r>
        <w:rPr>
          <w:rFonts w:ascii="Arial" w:hAnsi="Arial" w:cs="Arial" w:eastAsia="Arial"/>
          <w:spacing w:val="-22"/>
        </w:rPr>
        <w:t> </w:t>
      </w:r>
      <w:r>
        <w:rPr>
          <w:rFonts w:ascii="Arial" w:hAnsi="Arial" w:cs="Arial" w:eastAsia="Arial"/>
        </w:rPr>
        <w:t>management</w:t>
      </w:r>
      <w:r>
        <w:rPr>
          <w:rFonts w:ascii="Arial" w:hAnsi="Arial" w:cs="Arial" w:eastAsia="Arial"/>
          <w:w w:val="99"/>
        </w:rPr>
        <w:t> </w:t>
      </w:r>
      <w:r>
        <w:rPr/>
        <w:t>stability, historical record of rehabilitation and/or previous performance. Industry further submitted</w:t>
      </w:r>
      <w:r>
        <w:rPr>
          <w:spacing w:val="-26"/>
        </w:rPr>
        <w:t> </w:t>
      </w:r>
      <w:r>
        <w:rPr>
          <w:spacing w:val="-26"/>
        </w:rPr>
      </w:r>
      <w:r>
        <w:rPr/>
        <w:t>that</w:t>
      </w:r>
      <w:r>
        <w:rPr>
          <w:spacing w:val="1"/>
        </w:rPr>
        <w:t> </w:t>
      </w:r>
      <w:r>
        <w:rPr/>
        <w:t>alternatives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bank</w:t>
      </w:r>
      <w:r>
        <w:rPr>
          <w:spacing w:val="31"/>
        </w:rPr>
        <w:t> </w:t>
      </w:r>
      <w:r>
        <w:rPr/>
        <w:t>guarantees</w:t>
      </w:r>
      <w:r>
        <w:rPr>
          <w:spacing w:val="29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28"/>
        </w:rPr>
        <w:t> </w:t>
      </w:r>
      <w:r>
        <w:rPr/>
        <w:t>made</w:t>
      </w:r>
      <w:r>
        <w:rPr>
          <w:spacing w:val="28"/>
        </w:rPr>
        <w:t> </w:t>
      </w:r>
      <w:r>
        <w:rPr/>
        <w:t>available</w:t>
      </w:r>
      <w:r>
        <w:rPr>
          <w:spacing w:val="28"/>
        </w:rPr>
        <w:t> </w:t>
      </w:r>
      <w:r>
        <w:rPr/>
        <w:t>(company</w:t>
      </w:r>
      <w:r>
        <w:rPr>
          <w:spacing w:val="25"/>
        </w:rPr>
        <w:t> </w:t>
      </w:r>
      <w:r>
        <w:rPr/>
        <w:t>bonds,</w:t>
      </w:r>
      <w:r>
        <w:rPr>
          <w:spacing w:val="28"/>
        </w:rPr>
        <w:t> </w:t>
      </w:r>
      <w:r>
        <w:rPr/>
        <w:t>term</w:t>
      </w:r>
      <w:r>
        <w:rPr>
          <w:spacing w:val="33"/>
        </w:rPr>
        <w:t> </w:t>
      </w:r>
      <w:r>
        <w:rPr/>
        <w:t>deposits,</w:t>
      </w:r>
      <w:r>
        <w:rPr>
          <w:w w:val="99"/>
        </w:rPr>
        <w:t> </w:t>
      </w:r>
      <w:r>
        <w:rPr>
          <w:w w:val="99"/>
        </w:rPr>
        <w:t>      </w:t>
      </w:r>
      <w:r>
        <w:rPr/>
        <w:t>security bonds, cash</w:t>
      </w:r>
      <w:r>
        <w:rPr>
          <w:spacing w:val="-7"/>
        </w:rPr>
        <w:t> </w:t>
      </w:r>
      <w:r>
        <w:rPr/>
        <w:t>bonds).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8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ListParagraph"/>
        <w:numPr>
          <w:ilvl w:val="0"/>
          <w:numId w:val="4"/>
        </w:numPr>
        <w:tabs>
          <w:tab w:pos="340" w:val="left" w:leader="none"/>
        </w:tabs>
        <w:spacing w:line="248" w:lineRule="exact" w:before="39" w:after="0"/>
        <w:ind w:left="339" w:right="235" w:hanging="199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Ibid,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p21</w:t>
      </w:r>
    </w:p>
    <w:p>
      <w:pPr>
        <w:spacing w:line="184" w:lineRule="exact" w:before="18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17 </w:t>
      </w:r>
      <w:r>
        <w:rPr>
          <w:rFonts w:ascii="Arial"/>
          <w:sz w:val="16"/>
        </w:rPr>
        <w:t>Australian Government, </w:t>
      </w:r>
      <w:r>
        <w:rPr>
          <w:rFonts w:ascii="Arial"/>
          <w:i/>
          <w:color w:val="0000FF"/>
          <w:sz w:val="16"/>
        </w:rPr>
      </w:r>
      <w:hyperlink r:id="rId21">
        <w:r>
          <w:rPr>
            <w:rFonts w:ascii="Arial"/>
            <w:i/>
            <w:color w:val="0000FF"/>
            <w:sz w:val="16"/>
            <w:u w:val="single" w:color="0000FF"/>
          </w:rPr>
          <w:t>Leading Practice Sustainable Development Program for the Mining Industry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i/>
            <w:sz w:val="16"/>
          </w:rPr>
          <w:t>,</w:t>
        </w:r>
      </w:hyperlink>
      <w:r>
        <w:rPr>
          <w:rFonts w:ascii="Arial"/>
          <w:i/>
          <w:sz w:val="16"/>
        </w:rPr>
        <w:t> </w:t>
      </w:r>
      <w:r>
        <w:rPr>
          <w:rFonts w:ascii="Arial"/>
          <w:sz w:val="16"/>
        </w:rPr>
        <w:t>Department of</w:t>
      </w:r>
      <w:r>
        <w:rPr>
          <w:rFonts w:ascii="Arial"/>
          <w:spacing w:val="-28"/>
          <w:sz w:val="16"/>
        </w:rPr>
        <w:t> </w:t>
      </w:r>
      <w:r>
        <w:rPr>
          <w:rFonts w:ascii="Arial"/>
          <w:sz w:val="16"/>
        </w:rPr>
        <w:t>Industry</w:t>
      </w:r>
      <w:r>
        <w:rPr>
          <w:rFonts w:ascii="Arial"/>
          <w:w w:val="100"/>
          <w:sz w:val="16"/>
        </w:rPr>
        <w:t> </w:t>
      </w:r>
      <w:r>
        <w:rPr>
          <w:rFonts w:ascii="Arial"/>
          <w:sz w:val="16"/>
        </w:rPr>
        <w:t>and Science,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2006</w:t>
      </w:r>
    </w:p>
    <w:p>
      <w:pPr>
        <w:pStyle w:val="ListParagraph"/>
        <w:numPr>
          <w:ilvl w:val="0"/>
          <w:numId w:val="5"/>
        </w:numPr>
        <w:tabs>
          <w:tab w:pos="340" w:val="left" w:leader="none"/>
        </w:tabs>
        <w:spacing w:line="226" w:lineRule="exact" w:before="0" w:after="0"/>
        <w:ind w:left="140" w:right="235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Victorian Government</w:t>
      </w:r>
      <w:r>
        <w:rPr>
          <w:rFonts w:ascii="Arial"/>
          <w:sz w:val="20"/>
        </w:rPr>
        <w:t>, </w:t>
      </w:r>
      <w:r>
        <w:rPr>
          <w:rFonts w:ascii="Arial"/>
          <w:i/>
          <w:sz w:val="16"/>
        </w:rPr>
        <w:t>MR(SD)A Review 2 discussion paper 5 Rehab Bonds</w:t>
      </w:r>
      <w:r>
        <w:rPr>
          <w:rFonts w:ascii="Arial"/>
          <w:sz w:val="16"/>
        </w:rPr>
        <w:t>,</w:t>
      </w:r>
      <w:r>
        <w:rPr>
          <w:rFonts w:ascii="Arial"/>
          <w:spacing w:val="-7"/>
          <w:sz w:val="16"/>
        </w:rPr>
        <w:t> </w:t>
      </w:r>
      <w:r>
        <w:rPr>
          <w:rFonts w:ascii="Arial"/>
          <w:sz w:val="16"/>
        </w:rPr>
        <w:t>2011.</w:t>
      </w:r>
    </w:p>
    <w:p>
      <w:pPr>
        <w:spacing w:line="240" w:lineRule="auto" w:before="5"/>
        <w:rPr>
          <w:rFonts w:ascii="Arial" w:hAnsi="Arial" w:cs="Arial" w:eastAsia="Arial"/>
          <w:sz w:val="8"/>
          <w:szCs w:val="8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75pt;height:.5pt;mso-position-horizontal-relative:char;mso-position-vertical-relative:line" coordorigin="0,0" coordsize="9095,10">
            <v:group style="position:absolute;left:5;top:5;width:9086;height:2" coordorigin="5,5" coordsize="9086,2">
              <v:shape style="position:absolute;left:5;top:5;width:9086;height:2" coordorigin="5,5" coordsize="9086,0" path="m5,5l9090,5e" filled="false" stroked="true" strokeweight=".48004pt" strokecolor="#33333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pgSz w:w="11910" w:h="16840"/>
          <w:pgMar w:header="0" w:footer="652" w:top="1340" w:bottom="840" w:left="1300" w:right="1300"/>
        </w:sectPr>
      </w:pPr>
    </w:p>
    <w:p>
      <w:pPr>
        <w:pStyle w:val="BodyText"/>
        <w:spacing w:line="276" w:lineRule="auto" w:before="59"/>
        <w:ind w:right="235"/>
        <w:jc w:val="left"/>
      </w:pPr>
      <w:r>
        <w:rPr/>
        <w:t>In 2011 work commenced on designing a new rehabilitation bond model. Guiding Principles and</w:t>
      </w:r>
      <w:r>
        <w:rPr>
          <w:spacing w:val="-21"/>
        </w:rPr>
        <w:t> </w:t>
      </w:r>
      <w:r>
        <w:rPr/>
        <w:t>a</w:t>
      </w:r>
      <w:r>
        <w:rPr>
          <w:w w:val="99"/>
        </w:rPr>
        <w:t> </w:t>
      </w:r>
      <w:r>
        <w:rPr/>
        <w:t>range of models were proposed.  An assessment of financial surety options was</w:t>
      </w:r>
      <w:r>
        <w:rPr>
          <w:spacing w:val="-26"/>
        </w:rPr>
        <w:t> </w:t>
      </w:r>
      <w:r>
        <w:rPr/>
        <w:t>undertaken.</w:t>
      </w:r>
    </w:p>
    <w:p>
      <w:pPr>
        <w:pStyle w:val="BodyText"/>
        <w:spacing w:line="256" w:lineRule="auto" w:before="121"/>
        <w:ind w:right="113"/>
        <w:jc w:val="left"/>
      </w:pPr>
      <w:r>
        <w:rPr/>
        <w:t>This work fed in to the Economic Development and Infrastructure Committee of Parliament Inquiry</w:t>
      </w:r>
      <w:r>
        <w:rPr>
          <w:spacing w:val="-27"/>
        </w:rPr>
        <w:t> </w:t>
      </w:r>
      <w:r>
        <w:rPr/>
        <w:t>into</w:t>
      </w:r>
      <w:r>
        <w:rPr>
          <w:w w:val="99"/>
        </w:rPr>
        <w:t> </w:t>
      </w:r>
      <w:r>
        <w:rPr/>
        <w:t>Greenfields Exploration and Mineral Development in Victoria (EDIC)</w:t>
      </w:r>
      <w:r>
        <w:rPr>
          <w:position w:val="10"/>
          <w:sz w:val="13"/>
        </w:rPr>
        <w:t>19 </w:t>
      </w:r>
      <w:r>
        <w:rPr/>
        <w:t>which made the</w:t>
      </w:r>
      <w:r>
        <w:rPr>
          <w:spacing w:val="1"/>
        </w:rPr>
        <w:t> </w:t>
      </w:r>
      <w:r>
        <w:rPr/>
        <w:t>following</w:t>
      </w:r>
      <w:r>
        <w:rPr>
          <w:w w:val="99"/>
        </w:rPr>
        <w:t> </w:t>
      </w:r>
      <w:r>
        <w:rPr/>
        <w:t>recommendation:</w:t>
      </w:r>
    </w:p>
    <w:p>
      <w:pPr>
        <w:spacing w:line="15" w:lineRule="exact" w:before="136"/>
        <w:ind w:left="860" w:right="23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w w:val="99"/>
          <w:sz w:val="20"/>
        </w:rPr>
      </w:r>
      <w:r>
        <w:rPr>
          <w:rFonts w:ascii="Arial"/>
          <w:i/>
          <w:sz w:val="20"/>
          <w:u w:val="single" w:color="000000"/>
        </w:rPr>
        <w:t>Recommendation 15</w:t>
      </w:r>
      <w:r>
        <w:rPr>
          <w:rFonts w:ascii="Arial"/>
          <w:i/>
          <w:sz w:val="20"/>
        </w:rPr>
        <w:t>: That the Victorian Government reviews the current rehabilitation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z w:val="20"/>
        </w:rPr>
        <w:t>bond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i/>
          <w:sz w:val="25"/>
          <w:szCs w:val="25"/>
        </w:rPr>
      </w:pPr>
    </w:p>
    <w:p>
      <w:pPr>
        <w:spacing w:line="55" w:lineRule="auto" w:before="0"/>
        <w:ind w:left="860" w:right="23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z w:val="20"/>
          <w:szCs w:val="20"/>
        </w:rPr>
        <w:t>system in comparison with alternative existing mechanisms, taking into account the</w:t>
      </w:r>
      <w:r>
        <w:rPr>
          <w:rFonts w:ascii="Arial" w:hAnsi="Arial" w:cs="Arial" w:eastAsia="Arial"/>
          <w:i/>
          <w:spacing w:val="-2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end</w:t>
      </w:r>
      <w:r>
        <w:rPr>
          <w:rFonts w:ascii="Cambria Math" w:hAnsi="Cambria Math" w:cs="Cambria Math" w:eastAsia="Cambria Math"/>
          <w:i/>
          <w:sz w:val="21"/>
          <w:szCs w:val="21"/>
        </w:rPr>
        <w:t>‐</w:t>
      </w:r>
      <w:r>
        <w:rPr>
          <w:rFonts w:ascii="Arial" w:hAnsi="Arial" w:cs="Arial" w:eastAsia="Arial"/>
          <w:i/>
          <w:sz w:val="20"/>
          <w:szCs w:val="20"/>
        </w:rPr>
        <w:t>of</w:t>
      </w:r>
      <w:r>
        <w:rPr>
          <w:rFonts w:ascii="Cambria Math" w:hAnsi="Cambria Math" w:cs="Cambria Math" w:eastAsia="Cambria Math"/>
          <w:i/>
          <w:sz w:val="21"/>
          <w:szCs w:val="21"/>
        </w:rPr>
        <w:t>‐</w:t>
      </w:r>
      <w:r>
        <w:rPr>
          <w:rFonts w:ascii="Cambria Math" w:hAnsi="Cambria Math" w:cs="Cambria Math" w:eastAsia="Cambria Math"/>
          <w:i/>
          <w:w w:val="94"/>
          <w:sz w:val="21"/>
          <w:szCs w:val="21"/>
        </w:rPr>
        <w:t> </w:t>
      </w:r>
      <w:r>
        <w:rPr>
          <w:rFonts w:ascii="Arial" w:hAnsi="Arial" w:cs="Arial" w:eastAsia="Arial"/>
          <w:i/>
          <w:sz w:val="20"/>
          <w:szCs w:val="20"/>
        </w:rPr>
        <w:t>mine</w:t>
      </w:r>
      <w:r>
        <w:rPr>
          <w:rFonts w:ascii="Cambria Math" w:hAnsi="Cambria Math" w:cs="Cambria Math" w:eastAsia="Cambria Math"/>
          <w:i/>
          <w:sz w:val="21"/>
          <w:szCs w:val="21"/>
        </w:rPr>
        <w:t>‐</w:t>
      </w:r>
      <w:r>
        <w:rPr>
          <w:rFonts w:ascii="Arial" w:hAnsi="Arial" w:cs="Arial" w:eastAsia="Arial"/>
          <w:i/>
          <w:sz w:val="20"/>
          <w:szCs w:val="20"/>
        </w:rPr>
        <w:t>life environmental legacies, whilst honouring obligations for rehabilitation of</w:t>
      </w:r>
      <w:r>
        <w:rPr>
          <w:rFonts w:ascii="Arial" w:hAnsi="Arial" w:cs="Arial" w:eastAsia="Arial"/>
          <w:i/>
          <w:spacing w:val="-32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specific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192" w:lineRule="exact" w:before="0"/>
        <w:ind w:left="860" w:right="23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sz w:val="20"/>
        </w:rPr>
        <w:t>sites.</w:t>
      </w:r>
      <w:r>
        <w:rPr>
          <w:rFonts w:ascii="Arial"/>
          <w:sz w:val="20"/>
        </w:rPr>
      </w:r>
    </w:p>
    <w:p>
      <w:pPr>
        <w:pStyle w:val="BodyText"/>
        <w:spacing w:line="240" w:lineRule="auto" w:before="156"/>
        <w:ind w:right="235"/>
        <w:jc w:val="left"/>
      </w:pPr>
      <w:r>
        <w:rPr/>
        <w:t>The former Government subsequently legislated</w:t>
      </w:r>
      <w:r>
        <w:rPr>
          <w:spacing w:val="-12"/>
        </w:rPr>
        <w:t> </w:t>
      </w:r>
      <w:r>
        <w:rPr/>
        <w:t>to: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2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introduce a start-up bond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scheme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3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implement a cash bond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system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3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introduce a late bond lodgement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penalty.</w:t>
      </w:r>
    </w:p>
    <w:p>
      <w:pPr>
        <w:pStyle w:val="BodyText"/>
        <w:spacing w:line="400" w:lineRule="auto" w:before="155"/>
        <w:ind w:right="1567"/>
        <w:jc w:val="left"/>
      </w:pPr>
      <w:r>
        <w:rPr/>
        <w:t>Further work to deliver on these initiatives is required but has unfortunately</w:t>
      </w:r>
      <w:r>
        <w:rPr>
          <w:spacing w:val="-18"/>
        </w:rPr>
        <w:t> </w:t>
      </w:r>
      <w:r>
        <w:rPr/>
        <w:t>stalled.</w:t>
      </w:r>
      <w:r>
        <w:rPr>
          <w:w w:val="99"/>
        </w:rPr>
        <w:t> </w:t>
      </w:r>
      <w:r>
        <w:rPr/>
        <w:t>The minerals industry continues to advocate that</w:t>
      </w:r>
      <w:r>
        <w:rPr>
          <w:spacing w:val="-17"/>
        </w:rPr>
        <w:t> </w:t>
      </w:r>
      <w:r>
        <w:rPr/>
        <w:t>bonds: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3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be applied in a consistent manner across all sites, irrespective of size or ability to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pay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73" w:lineRule="auto" w:before="153" w:after="0"/>
        <w:ind w:left="860" w:right="254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be sufficient to cover the cost of rehabilitation to the agreed standard at any point in time,</w:t>
      </w:r>
      <w:r>
        <w:rPr>
          <w:rFonts w:ascii="Arial"/>
          <w:spacing w:val="-24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final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requirements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21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be assessed on a site-by-site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basis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3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encourage progressive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rehabilitation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1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allow for unforseen phenomena on a probabilistic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basis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3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be a secure financial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instrument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</w:tabs>
        <w:spacing w:line="240" w:lineRule="auto" w:before="153" w:after="0"/>
        <w:ind w:left="860" w:right="23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do not allow or cross subsidise poor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performers.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line="20" w:lineRule="exact"/>
        <w:ind w:left="1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ListParagraph"/>
        <w:numPr>
          <w:ilvl w:val="0"/>
          <w:numId w:val="5"/>
        </w:numPr>
        <w:tabs>
          <w:tab w:pos="340" w:val="left" w:leader="none"/>
        </w:tabs>
        <w:spacing w:line="244" w:lineRule="auto" w:before="39" w:after="0"/>
        <w:ind w:left="140" w:right="54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Economic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Development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Infrastructure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Committee,</w:t>
      </w:r>
      <w:r>
        <w:rPr>
          <w:rFonts w:ascii="Arial"/>
          <w:spacing w:val="-4"/>
          <w:sz w:val="16"/>
        </w:rPr>
        <w:t> </w:t>
      </w:r>
      <w:r>
        <w:rPr>
          <w:rFonts w:ascii="Arial"/>
          <w:i/>
          <w:color w:val="0000FF"/>
          <w:spacing w:val="-4"/>
          <w:sz w:val="16"/>
        </w:rPr>
      </w:r>
      <w:hyperlink r:id="rId22">
        <w:r>
          <w:rPr>
            <w:rFonts w:ascii="Arial"/>
            <w:i/>
            <w:color w:val="0000FF"/>
            <w:sz w:val="16"/>
            <w:u w:val="single" w:color="0000FF"/>
          </w:rPr>
          <w:t>Inquiry</w:t>
        </w:r>
        <w:r>
          <w:rPr>
            <w:rFonts w:ascii="Arial"/>
            <w:i/>
            <w:color w:val="0000FF"/>
            <w:spacing w:val="-2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into</w:t>
        </w:r>
        <w:r>
          <w:rPr>
            <w:rFonts w:ascii="Arial"/>
            <w:i/>
            <w:color w:val="0000FF"/>
            <w:spacing w:val="-6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Greenfields</w:t>
        </w:r>
        <w:r>
          <w:rPr>
            <w:rFonts w:ascii="Arial"/>
            <w:i/>
            <w:color w:val="0000FF"/>
            <w:spacing w:val="-4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Exploration</w:t>
        </w:r>
        <w:r>
          <w:rPr>
            <w:rFonts w:ascii="Arial"/>
            <w:i/>
            <w:color w:val="0000FF"/>
            <w:spacing w:val="-4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and</w:t>
        </w:r>
        <w:r>
          <w:rPr>
            <w:rFonts w:ascii="Arial"/>
            <w:i/>
            <w:color w:val="0000FF"/>
            <w:spacing w:val="-6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Mineral</w:t>
        </w:r>
        <w:r>
          <w:rPr>
            <w:rFonts w:ascii="Arial"/>
            <w:i/>
            <w:color w:val="0000FF"/>
            <w:spacing w:val="-3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Development</w:t>
        </w:r>
        <w:r>
          <w:rPr>
            <w:rFonts w:ascii="Arial"/>
            <w:i/>
            <w:color w:val="0000FF"/>
            <w:spacing w:val="-2"/>
            <w:sz w:val="16"/>
            <w:u w:val="single" w:color="0000FF"/>
          </w:rPr>
          <w:t> </w:t>
        </w:r>
        <w:r>
          <w:rPr>
            <w:rFonts w:ascii="Arial"/>
            <w:i/>
            <w:color w:val="0000FF"/>
            <w:sz w:val="16"/>
            <w:u w:val="single" w:color="0000FF"/>
          </w:rPr>
          <w:t>in</w:t>
        </w:r>
        <w:r>
          <w:rPr>
            <w:rFonts w:ascii="Arial"/>
            <w:i/>
            <w:color w:val="0000FF"/>
            <w:w w:val="100"/>
            <w:sz w:val="16"/>
          </w:rPr>
        </w:r>
      </w:hyperlink>
      <w:r>
        <w:rPr>
          <w:rFonts w:ascii="Arial"/>
          <w:i/>
          <w:color w:val="0000FF"/>
          <w:w w:val="100"/>
          <w:sz w:val="16"/>
        </w:rPr>
        <w:t> </w:t>
      </w:r>
      <w:hyperlink r:id="rId22">
        <w:r>
          <w:rPr>
            <w:rFonts w:ascii="Arial"/>
            <w:i/>
            <w:color w:val="0000FF"/>
            <w:w w:val="100"/>
            <w:sz w:val="16"/>
          </w:rPr>
        </w:r>
        <w:r>
          <w:rPr>
            <w:rFonts w:ascii="Arial"/>
            <w:i/>
            <w:color w:val="0000FF"/>
            <w:sz w:val="16"/>
            <w:u w:val="single" w:color="0000FF"/>
          </w:rPr>
          <w:t>Victoria</w:t>
        </w:r>
        <w:r>
          <w:rPr>
            <w:rFonts w:ascii="Arial"/>
            <w:i/>
            <w:color w:val="0000FF"/>
            <w:sz w:val="16"/>
          </w:rPr>
        </w:r>
        <w:r>
          <w:rPr>
            <w:rFonts w:ascii="Arial"/>
            <w:sz w:val="16"/>
          </w:rPr>
          <w:t>,</w:t>
        </w:r>
      </w:hyperlink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2012.</w:t>
      </w:r>
    </w:p>
    <w:p>
      <w:pPr>
        <w:spacing w:line="240" w:lineRule="auto" w:before="3"/>
        <w:rPr>
          <w:rFonts w:ascii="Arial" w:hAnsi="Arial" w:cs="Arial" w:eastAsia="Arial"/>
          <w:sz w:val="8"/>
          <w:szCs w:val="8"/>
        </w:rPr>
      </w:pPr>
    </w:p>
    <w:p>
      <w:pPr>
        <w:spacing w:line="20" w:lineRule="exac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4.75pt;height:.5pt;mso-position-horizontal-relative:char;mso-position-vertical-relative:line" coordorigin="0,0" coordsize="9095,10">
            <v:group style="position:absolute;left:5;top:5;width:9086;height:2" coordorigin="5,5" coordsize="9086,2">
              <v:shape style="position:absolute;left:5;top:5;width:9086;height:2" coordorigin="5,5" coordsize="9086,0" path="m5,5l9090,5e" filled="false" stroked="true" strokeweight=".48004pt" strokecolor="#33333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pgSz w:w="11910" w:h="16840"/>
      <w:pgMar w:header="0" w:footer="652" w:top="1340" w:bottom="8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797.255981pt;width:453.95pt;height:.1pt;mso-position-horizontal-relative:page;mso-position-vertical-relative:page;z-index:-14536" coordorigin="1412,15945" coordsize="9079,2">
          <v:shape style="position:absolute;left:1412;top:15945;width:9079;height:2" coordorigin="1412,15945" coordsize="9079,0" path="m1412,15945l10490,15945e" filled="false" stroked="true" strokeweight=".48004pt" strokecolor="#333333">
            <v:path arrowok="t"/>
          </v:shape>
          <w10:wrap type="none"/>
        </v:group>
      </w:pict>
    </w:r>
    <w:r>
      <w:rPr/>
      <w:pict>
        <v:shape style="position:absolute;margin-left:375.75pt;margin-top:798.296204pt;width:148.2pt;height:9pt;mso-position-horizontal-relative:page;mso-position-vertical-relative:page;z-index:-1451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M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in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ra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ls</w:t>
                </w:r>
                <w:r>
                  <w:rPr>
                    <w:rFonts w:ascii="Arial"/>
                    <w:color w:val="333333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C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un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cil</w:t>
                </w:r>
                <w:r>
                  <w:rPr>
                    <w:rFonts w:ascii="Arial"/>
                    <w:color w:val="333333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f</w:t>
                </w:r>
                <w:r>
                  <w:rPr>
                    <w:rFonts w:ascii="Arial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spacing w:val="3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ust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li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,</w:t>
                </w:r>
                <w:r>
                  <w:rPr>
                    <w:rFonts w:ascii="Arial"/>
                    <w:color w:val="333333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Vict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color w:val="333333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Divisi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7"/>
        <w:szCs w:val="17"/>
      </w:rPr>
    </w:pPr>
    <w:r>
      <w:rPr/>
      <w:pict>
        <v:group style="position:absolute;margin-left:70.584pt;margin-top:797.255981pt;width:454.3pt;height:.1pt;mso-position-horizontal-relative:page;mso-position-vertical-relative:page;z-index:-14488" coordorigin="1412,15945" coordsize="9086,2">
          <v:shape style="position:absolute;left:1412;top:15945;width:9086;height:2" coordorigin="1412,15945" coordsize="9086,0" path="m1412,15945l10497,15945e" filled="false" stroked="true" strokeweight=".48004pt" strokecolor="#333333">
            <v:path arrowok="t"/>
          </v:shape>
          <w10:wrap type="none"/>
        </v:group>
      </w:pict>
    </w:r>
    <w:r>
      <w:rPr/>
      <w:pict>
        <v:shape style="position:absolute;margin-left:358.709991pt;margin-top:798.296204pt;width:166.65pt;height:9pt;mso-position-horizontal-relative:page;mso-position-vertical-relative:page;z-index:-1446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M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in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ra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ls</w:t>
                </w:r>
                <w:r>
                  <w:rPr>
                    <w:rFonts w:ascii="Arial"/>
                    <w:color w:val="333333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C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un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cil</w:t>
                </w:r>
                <w:r>
                  <w:rPr>
                    <w:rFonts w:ascii="Arial"/>
                    <w:color w:val="333333"/>
                    <w:spacing w:val="2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f</w:t>
                </w:r>
                <w:r>
                  <w:rPr>
                    <w:rFonts w:ascii="Arial"/>
                    <w:color w:val="333333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spacing w:val="3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u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st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lia,</w:t>
                </w:r>
                <w:r>
                  <w:rPr>
                    <w:rFonts w:ascii="Arial"/>
                    <w:color w:val="333333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Vict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color w:val="333333"/>
                    <w:spacing w:val="1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color w:val="333333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Divisi</w:t>
                </w:r>
                <w:r>
                  <w:rPr>
                    <w:rFonts w:ascii="Arial"/>
                    <w:color w:val="333333"/>
                    <w:spacing w:val="-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color w:val="333333"/>
                    <w:sz w:val="14"/>
                  </w:rPr>
                  <w:t>  </w:t>
                </w:r>
                <w:r>
                  <w:rPr>
                    <w:rFonts w:ascii="Arial"/>
                    <w:color w:val="333333"/>
                    <w:spacing w:val="3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t>|</w:t>
                </w:r>
                <w:r>
                  <w:rPr>
                    <w:rFonts w:ascii="Arial"/>
                    <w:color w:val="333333"/>
                    <w:sz w:val="14"/>
                  </w:rPr>
                  <w:t>  </w:t>
                </w:r>
                <w:r>
                  <w:rPr>
                    <w:rFonts w:ascii="Arial"/>
                    <w:color w:val="333333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333333"/>
                    <w:w w:val="99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8"/>
      <w:numFmt w:val="decimal"/>
      <w:lvlText w:val="%1"/>
      <w:lvlJc w:val="left"/>
      <w:pPr>
        <w:ind w:left="140" w:hanging="200"/>
        <w:jc w:val="left"/>
      </w:pPr>
      <w:rPr>
        <w:rFonts w:hint="default" w:ascii="Arial" w:hAnsi="Arial" w:eastAsia="Arial"/>
        <w:spacing w:val="-1"/>
        <w:w w:val="99"/>
        <w:position w:val="10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3">
    <w:multiLevelType w:val="hybridMultilevel"/>
    <w:lvl w:ilvl="0">
      <w:start w:val="15"/>
      <w:numFmt w:val="decimal"/>
      <w:lvlText w:val="%1"/>
      <w:lvlJc w:val="left"/>
      <w:pPr>
        <w:ind w:left="339" w:hanging="200"/>
        <w:jc w:val="left"/>
      </w:pPr>
      <w:rPr>
        <w:rFonts w:hint="default" w:ascii="Arial" w:hAnsi="Arial" w:eastAsia="Arial"/>
        <w:spacing w:val="-1"/>
        <w:w w:val="99"/>
        <w:position w:val="10"/>
        <w:sz w:val="13"/>
        <w:szCs w:val="13"/>
      </w:rPr>
    </w:lvl>
    <w:lvl w:ilvl="1">
      <w:start w:val="1"/>
      <w:numFmt w:val="bullet"/>
      <w:lvlText w:val="•"/>
      <w:lvlJc w:val="left"/>
      <w:pPr>
        <w:ind w:left="1236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6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9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6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00"/>
      </w:pPr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339" w:hanging="200"/>
        <w:jc w:val="left"/>
      </w:pPr>
      <w:rPr>
        <w:rFonts w:hint="default" w:ascii="Arial" w:hAnsi="Arial" w:eastAsia="Arial"/>
        <w:spacing w:val="-1"/>
        <w:w w:val="99"/>
        <w:position w:val="10"/>
        <w:sz w:val="13"/>
        <w:szCs w:val="13"/>
      </w:rPr>
    </w:lvl>
    <w:lvl w:ilvl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Arial" w:hAnsi="Arial" w:eastAsia="Arial"/>
        <w:b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280" w:hanging="358"/>
      </w:pPr>
      <w:rPr>
        <w:rFonts w:hint="default" w:ascii="Arial" w:hAnsi="Arial" w:eastAsia="Arial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28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6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9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6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9" w:hanging="35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7" w:hanging="428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7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1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42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35"/>
      <w:ind w:left="567" w:hanging="427"/>
    </w:pPr>
    <w:rPr>
      <w:rFonts w:ascii="Arial" w:hAnsi="Arial" w:eastAsia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135"/>
      <w:ind w:left="567"/>
    </w:pPr>
    <w:rPr>
      <w:rFonts w:ascii="Arial" w:hAnsi="Arial" w:eastAsia="Arial"/>
      <w:sz w:val="20"/>
      <w:szCs w:val="20"/>
    </w:rPr>
  </w:style>
  <w:style w:styleId="BodyText" w:type="paragraph">
    <w:name w:val="Body Text"/>
    <w:basedOn w:val="Normal"/>
    <w:uiPriority w:val="1"/>
    <w:qFormat/>
    <w:pPr>
      <w:ind w:left="14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8"/>
      <w:ind w:left="572" w:hanging="432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x.doi.org/10.11636/1327-1466.2014" TargetMode="External"/><Relationship Id="rId18" Type="http://schemas.openxmlformats.org/officeDocument/2006/relationships/image" Target="media/image4.jpeg"/><Relationship Id="rId26" Type="http://schemas.openxmlformats.org/officeDocument/2006/relationships/customXml" Target="../customXml/item3.xml"/><Relationship Id="rId3" Type="http://schemas.openxmlformats.org/officeDocument/2006/relationships/theme" Target="theme/theme1.xml"/><Relationship Id="rId21" Type="http://schemas.openxmlformats.org/officeDocument/2006/relationships/hyperlink" Target="http://www.industry.gov.au/resource/Programs/LPSD/Pages/default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energyandresources.vic.gov.au/earth-resources/victorias-earth-resources/coal" TargetMode="External"/><Relationship Id="rId17" Type="http://schemas.openxmlformats.org/officeDocument/2006/relationships/hyperlink" Target="http://www.minerals.org.au/news/cumulative_environmental_impact_assessment_industry_guide" TargetMode="External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yperlink" Target="http://www.minerals.org.au/leading_practice/enduring_value" TargetMode="External"/><Relationship Id="rId20" Type="http://schemas.openxmlformats.org/officeDocument/2006/relationships/hyperlink" Target="http://report.hazelwoodinquiry.vic.gov.au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hazelwoodinquiry.vic.gov.au" TargetMode="External"/><Relationship Id="rId11" Type="http://schemas.openxmlformats.org/officeDocument/2006/relationships/footer" Target="footer2.xml"/><Relationship Id="rId24" Type="http://schemas.openxmlformats.org/officeDocument/2006/relationships/customXml" Target="../customXml/item1.xml"/><Relationship Id="rId5" Type="http://schemas.openxmlformats.org/officeDocument/2006/relationships/hyperlink" Target="mailto:Megan.Davison@minerals.org.au" TargetMode="External"/><Relationship Id="rId15" Type="http://schemas.openxmlformats.org/officeDocument/2006/relationships/hyperlink" Target="https://www.esaa.com.au/product/detail/electricity_gas_australia_2015_-_hard_copy_publication_and_online_access/shop" TargetMode="External"/><Relationship Id="rId23" Type="http://schemas.openxmlformats.org/officeDocument/2006/relationships/numbering" Target="numbering.xml"/><Relationship Id="rId10" Type="http://schemas.openxmlformats.org/officeDocument/2006/relationships/footer" Target="footer1.xml"/><Relationship Id="rId19" Type="http://schemas.openxmlformats.org/officeDocument/2006/relationships/hyperlink" Target="http://www.scie-socialcareonline.org.uk/risk-responsibility-and-regulation-whose-risk-is-it-anyway/r/a11G00000017tVBI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australianminesatlas.gov.au/aimr/commodity/brown_coal.html" TargetMode="External"/><Relationship Id="rId22" Type="http://schemas.openxmlformats.org/officeDocument/2006/relationships/hyperlink" Target="http://www.parliament.vic.gov.au/images/stories/committees/edic/greenfields_mineral_exploration/Inquiry_into_greenfields_mineral_exploration_and_project_development_in_Victoria_-_final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045AB-513F-4AF7-9453-D8A21497E661}"/>
</file>

<file path=customXml/itemProps2.xml><?xml version="1.0" encoding="utf-8"?>
<ds:datastoreItem xmlns:ds="http://schemas.openxmlformats.org/officeDocument/2006/customXml" ds:itemID="{246EF20B-AE74-46BD-B76C-7283354756B7}"/>
</file>

<file path=customXml/itemProps3.xml><?xml version="1.0" encoding="utf-8"?>
<ds:datastoreItem xmlns:ds="http://schemas.openxmlformats.org/officeDocument/2006/customXml" ds:itemID="{890E4C21-DD62-41F7-907A-A95FC682FDE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Minerals Council of Australia Victorian Division - Submission - Hazelwood Mine Fire Inquiry  - August 2015-Final version</dc:title>
  <dc:creator>Megan Davison</dc:creator>
  <dcterms:created xsi:type="dcterms:W3CDTF">2015-08-24T13:59:41Z</dcterms:created>
  <dcterms:modified xsi:type="dcterms:W3CDTF">2015-08-24T13:59:41Z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2015-08-24T00:00:00Z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234200</vt:r8>
  </property>
</Properties>
</file>